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614E" w14:textId="63BAFB11" w:rsidR="007B1003" w:rsidRPr="00571A95" w:rsidRDefault="003120F0" w:rsidP="00571A95">
      <w:pPr>
        <w:tabs>
          <w:tab w:val="left" w:leader="dot" w:pos="10500"/>
        </w:tabs>
        <w:spacing w:before="0" w:after="0"/>
        <w:jc w:val="center"/>
        <w:rPr>
          <w:rFonts w:asciiTheme="majorHAnsi" w:hAnsiTheme="majorHAnsi" w:cstheme="majorHAnsi"/>
          <w:b/>
          <w:sz w:val="22"/>
          <w:szCs w:val="22"/>
        </w:rPr>
      </w:pPr>
      <w:r w:rsidRPr="00571A95">
        <w:rPr>
          <w:rFonts w:asciiTheme="majorHAnsi" w:hAnsiTheme="majorHAnsi" w:cstheme="majorHAnsi"/>
          <w:b/>
          <w:sz w:val="22"/>
          <w:szCs w:val="22"/>
        </w:rPr>
        <w:t>Coordinateur</w:t>
      </w:r>
      <w:r w:rsidR="00AE49A8">
        <w:rPr>
          <w:rFonts w:asciiTheme="majorHAnsi" w:hAnsiTheme="majorHAnsi" w:cstheme="majorHAnsi"/>
          <w:b/>
          <w:sz w:val="22"/>
          <w:szCs w:val="22"/>
        </w:rPr>
        <w:t>(trice) et tuteur(trice)</w:t>
      </w:r>
      <w:r w:rsidRPr="00571A95">
        <w:rPr>
          <w:rFonts w:asciiTheme="majorHAnsi" w:hAnsiTheme="majorHAnsi" w:cstheme="majorHAnsi"/>
          <w:b/>
          <w:sz w:val="22"/>
          <w:szCs w:val="22"/>
        </w:rPr>
        <w:t xml:space="preserve"> du campus connecté</w:t>
      </w:r>
      <w:r w:rsidR="00837FBB" w:rsidRPr="00571A95">
        <w:rPr>
          <w:rFonts w:asciiTheme="majorHAnsi" w:hAnsiTheme="majorHAnsi" w:cstheme="majorHAnsi"/>
          <w:b/>
          <w:sz w:val="22"/>
          <w:szCs w:val="22"/>
        </w:rPr>
        <w:t xml:space="preserve"> de Belleville-en-Beaujolais, de la formation professionnelle et de l’enseignement supérieur</w:t>
      </w:r>
    </w:p>
    <w:p w14:paraId="6B7868A9" w14:textId="05540592" w:rsidR="00837FBB" w:rsidRPr="00571A95" w:rsidRDefault="00837FBB" w:rsidP="00837FBB">
      <w:pPr>
        <w:tabs>
          <w:tab w:val="left" w:leader="dot" w:pos="10500"/>
        </w:tabs>
        <w:spacing w:before="0" w:after="0"/>
        <w:rPr>
          <w:rFonts w:asciiTheme="majorHAnsi" w:hAnsiTheme="majorHAnsi" w:cstheme="majorHAnsi"/>
          <w:b/>
          <w:sz w:val="22"/>
          <w:szCs w:val="22"/>
        </w:rPr>
      </w:pPr>
    </w:p>
    <w:p w14:paraId="420B23F2" w14:textId="77777777" w:rsidR="00837FBB" w:rsidRPr="00571A95" w:rsidRDefault="00837FBB" w:rsidP="00837FBB">
      <w:pPr>
        <w:tabs>
          <w:tab w:val="left" w:leader="dot" w:pos="10500"/>
        </w:tabs>
        <w:spacing w:before="0" w:after="0"/>
        <w:rPr>
          <w:rFonts w:asciiTheme="majorHAnsi" w:hAnsiTheme="majorHAnsi" w:cstheme="majorHAnsi"/>
          <w:b/>
          <w:sz w:val="22"/>
          <w:szCs w:val="22"/>
        </w:rPr>
      </w:pPr>
      <w:r w:rsidRPr="00571A95">
        <w:rPr>
          <w:rFonts w:asciiTheme="majorHAnsi" w:hAnsiTheme="majorHAnsi" w:cstheme="majorHAnsi"/>
          <w:b/>
          <w:sz w:val="22"/>
          <w:szCs w:val="22"/>
        </w:rPr>
        <w:t>De nombreux jeunes, et moins jeunes, du territoire, n'ont pas la chance d'avoir accès à la formation universitaire qu'ils souhaitent.</w:t>
      </w:r>
    </w:p>
    <w:p w14:paraId="406ED474" w14:textId="7A9153E9" w:rsidR="00837FBB" w:rsidRPr="00571A95" w:rsidRDefault="00837FBB" w:rsidP="00837FBB">
      <w:pPr>
        <w:tabs>
          <w:tab w:val="left" w:leader="dot" w:pos="10500"/>
        </w:tabs>
        <w:spacing w:before="0" w:after="0"/>
        <w:rPr>
          <w:rFonts w:asciiTheme="majorHAnsi" w:hAnsiTheme="majorHAnsi" w:cstheme="majorHAnsi"/>
          <w:b/>
          <w:sz w:val="22"/>
          <w:szCs w:val="22"/>
        </w:rPr>
      </w:pPr>
      <w:r w:rsidRPr="00571A95">
        <w:rPr>
          <w:rFonts w:asciiTheme="majorHAnsi" w:hAnsiTheme="majorHAnsi" w:cstheme="majorHAnsi"/>
          <w:b/>
          <w:sz w:val="22"/>
          <w:szCs w:val="22"/>
        </w:rPr>
        <w:t>Le maire et la municipalité de Belleville-en-Beaujolais ont donc décidé de porter un projet de campus connecté en partenariat avec une université Lyonnaise. Ce lundi 3 mai, le jury national a sélectionné la commune parmi les 87 sites nationaux (2 seulement dans tout le rectorat de Lyon pour les départements du Rhône, de la Loire et de l’Ain). L'Etat accompagnera donc ce campus à hauteur de 300.000 € sur 5 ans.</w:t>
      </w:r>
    </w:p>
    <w:p w14:paraId="76D9424D" w14:textId="77777777" w:rsidR="00837FBB" w:rsidRPr="00571A95" w:rsidRDefault="00837FBB" w:rsidP="00837FBB">
      <w:pPr>
        <w:tabs>
          <w:tab w:val="left" w:leader="dot" w:pos="10500"/>
        </w:tabs>
        <w:spacing w:before="0" w:after="0"/>
        <w:rPr>
          <w:rFonts w:asciiTheme="majorHAnsi" w:hAnsiTheme="majorHAnsi" w:cstheme="majorHAnsi"/>
          <w:b/>
          <w:sz w:val="22"/>
          <w:szCs w:val="22"/>
        </w:rPr>
      </w:pPr>
      <w:r w:rsidRPr="00571A95">
        <w:rPr>
          <w:rFonts w:asciiTheme="majorHAnsi" w:hAnsiTheme="majorHAnsi" w:cstheme="majorHAnsi"/>
          <w:b/>
          <w:sz w:val="22"/>
          <w:szCs w:val="22"/>
        </w:rPr>
        <w:t>Les campus connectés sont des lieux d'études où les jeunes peuvent suivre, près de chez eux, des formations à distance dans l'enseignement supérieur en bénéficiant d'un tutorat individuel et collectif.</w:t>
      </w:r>
    </w:p>
    <w:p w14:paraId="07D16DDA" w14:textId="51A8DF81" w:rsidR="00837FBB" w:rsidRPr="00571A95" w:rsidRDefault="00837FBB" w:rsidP="00837FBB">
      <w:pPr>
        <w:tabs>
          <w:tab w:val="left" w:leader="dot" w:pos="10500"/>
        </w:tabs>
        <w:spacing w:before="0" w:after="0"/>
        <w:rPr>
          <w:rFonts w:asciiTheme="majorHAnsi" w:hAnsiTheme="majorHAnsi" w:cstheme="majorHAnsi"/>
          <w:b/>
          <w:sz w:val="22"/>
          <w:szCs w:val="22"/>
        </w:rPr>
      </w:pPr>
      <w:r w:rsidRPr="00571A95">
        <w:rPr>
          <w:rFonts w:asciiTheme="majorHAnsi" w:hAnsiTheme="majorHAnsi" w:cstheme="majorHAnsi"/>
          <w:b/>
          <w:sz w:val="22"/>
          <w:szCs w:val="22"/>
        </w:rPr>
        <w:t xml:space="preserve">A partir de septembre </w:t>
      </w:r>
      <w:r w:rsidR="00C71185">
        <w:rPr>
          <w:rFonts w:asciiTheme="majorHAnsi" w:hAnsiTheme="majorHAnsi" w:cstheme="majorHAnsi"/>
          <w:b/>
          <w:sz w:val="22"/>
          <w:szCs w:val="22"/>
        </w:rPr>
        <w:t xml:space="preserve">2021 mais plus encore en septembre </w:t>
      </w:r>
      <w:r w:rsidRPr="00571A95">
        <w:rPr>
          <w:rFonts w:asciiTheme="majorHAnsi" w:hAnsiTheme="majorHAnsi" w:cstheme="majorHAnsi"/>
          <w:b/>
          <w:sz w:val="22"/>
          <w:szCs w:val="22"/>
        </w:rPr>
        <w:t xml:space="preserve">2022, le campus connecté de Belleville-en-Beaujolais ouvrira ses portes </w:t>
      </w:r>
      <w:r w:rsidR="00571A95">
        <w:rPr>
          <w:rFonts w:asciiTheme="majorHAnsi" w:hAnsiTheme="majorHAnsi" w:cstheme="majorHAnsi"/>
          <w:b/>
          <w:sz w:val="22"/>
          <w:szCs w:val="22"/>
        </w:rPr>
        <w:t xml:space="preserve">dans des locaux attractifs et complétement rénovés </w:t>
      </w:r>
      <w:r w:rsidRPr="00571A95">
        <w:rPr>
          <w:rFonts w:asciiTheme="majorHAnsi" w:hAnsiTheme="majorHAnsi" w:cstheme="majorHAnsi"/>
          <w:b/>
          <w:sz w:val="22"/>
          <w:szCs w:val="22"/>
        </w:rPr>
        <w:t>et accueillera des étudiants de la commune et des territoires avoisinants.</w:t>
      </w:r>
    </w:p>
    <w:p w14:paraId="0366745B" w14:textId="504D051D" w:rsidR="00837FBB" w:rsidRPr="00571A95" w:rsidRDefault="00837FBB" w:rsidP="00837FBB">
      <w:pPr>
        <w:tabs>
          <w:tab w:val="left" w:leader="dot" w:pos="10500"/>
        </w:tabs>
        <w:spacing w:before="0" w:after="0"/>
        <w:rPr>
          <w:rFonts w:asciiTheme="majorHAnsi" w:hAnsiTheme="majorHAnsi" w:cstheme="majorHAnsi"/>
          <w:b/>
          <w:sz w:val="22"/>
          <w:szCs w:val="22"/>
        </w:rPr>
      </w:pPr>
      <w:r w:rsidRPr="00571A95">
        <w:rPr>
          <w:rFonts w:asciiTheme="majorHAnsi" w:hAnsiTheme="majorHAnsi" w:cstheme="majorHAnsi"/>
          <w:b/>
          <w:sz w:val="22"/>
          <w:szCs w:val="22"/>
        </w:rPr>
        <w:t>Parallèlement, dans le cadre des services mutualisés avec la communauté de communes, l’action en matière de réussites éducatives se traduit par une action globale en termes d’accès à la formation professionnelle et à l’enseignement supérieur.</w:t>
      </w:r>
    </w:p>
    <w:p w14:paraId="35CA05EC" w14:textId="6799E9EC" w:rsidR="00837FBB" w:rsidRPr="00571A95" w:rsidRDefault="00837FBB" w:rsidP="00837FBB">
      <w:pPr>
        <w:tabs>
          <w:tab w:val="left" w:leader="dot" w:pos="10500"/>
        </w:tabs>
        <w:spacing w:before="0" w:after="0"/>
        <w:rPr>
          <w:rFonts w:asciiTheme="majorHAnsi" w:hAnsiTheme="majorHAnsi" w:cstheme="majorHAnsi"/>
          <w:b/>
          <w:sz w:val="22"/>
          <w:szCs w:val="22"/>
        </w:rPr>
      </w:pPr>
    </w:p>
    <w:p w14:paraId="39F8924A" w14:textId="77777777" w:rsidR="00837FBB" w:rsidRPr="00571A95" w:rsidRDefault="00837FBB" w:rsidP="00837FBB">
      <w:pPr>
        <w:tabs>
          <w:tab w:val="left" w:leader="dot" w:pos="10500"/>
        </w:tabs>
        <w:spacing w:before="0" w:after="0"/>
        <w:rPr>
          <w:rFonts w:asciiTheme="majorHAnsi" w:hAnsiTheme="majorHAnsi" w:cstheme="majorHAnsi"/>
          <w:b/>
          <w:sz w:val="22"/>
          <w:szCs w:val="22"/>
        </w:rPr>
      </w:pPr>
      <w:r w:rsidRPr="00571A95">
        <w:rPr>
          <w:rFonts w:asciiTheme="majorHAnsi" w:hAnsiTheme="majorHAnsi" w:cstheme="majorHAnsi"/>
          <w:b/>
          <w:sz w:val="22"/>
          <w:szCs w:val="22"/>
        </w:rPr>
        <w:t xml:space="preserve">Description du recruteur </w:t>
      </w:r>
    </w:p>
    <w:p w14:paraId="1010E3DF" w14:textId="201C8FCE" w:rsidR="00837FBB" w:rsidRPr="00571A95" w:rsidRDefault="00571A95" w:rsidP="00837FBB">
      <w:pPr>
        <w:tabs>
          <w:tab w:val="left" w:leader="dot" w:pos="10500"/>
        </w:tabs>
        <w:spacing w:before="0" w:after="0"/>
        <w:rPr>
          <w:rFonts w:asciiTheme="majorHAnsi" w:hAnsiTheme="majorHAnsi" w:cstheme="majorHAnsi"/>
          <w:bCs/>
          <w:sz w:val="22"/>
          <w:szCs w:val="22"/>
        </w:rPr>
      </w:pPr>
      <w:r>
        <w:rPr>
          <w:rFonts w:asciiTheme="majorHAnsi" w:hAnsiTheme="majorHAnsi" w:cstheme="majorHAnsi"/>
          <w:bCs/>
          <w:sz w:val="22"/>
          <w:szCs w:val="22"/>
        </w:rPr>
        <w:t xml:space="preserve">Commune de Belleville-en-Beaujolais (13 000 habitants) et </w:t>
      </w:r>
      <w:r w:rsidR="00837FBB" w:rsidRPr="00571A95">
        <w:rPr>
          <w:rFonts w:asciiTheme="majorHAnsi" w:hAnsiTheme="majorHAnsi" w:cstheme="majorHAnsi"/>
          <w:bCs/>
          <w:sz w:val="22"/>
          <w:szCs w:val="22"/>
        </w:rPr>
        <w:t xml:space="preserve">Communauté de Communes Saône-Beaujolais (CCSB), 44 000 habitants. 40 min de Lyon, 25 min de Mâcon. </w:t>
      </w:r>
    </w:p>
    <w:p w14:paraId="7302A452" w14:textId="77777777" w:rsidR="00837FBB" w:rsidRPr="00571A95" w:rsidRDefault="00837FBB" w:rsidP="00837FBB">
      <w:pPr>
        <w:tabs>
          <w:tab w:val="left" w:leader="dot" w:pos="10500"/>
        </w:tabs>
        <w:spacing w:before="0" w:after="0"/>
        <w:rPr>
          <w:rFonts w:asciiTheme="majorHAnsi" w:hAnsiTheme="majorHAnsi" w:cstheme="majorHAnsi"/>
          <w:bCs/>
          <w:sz w:val="22"/>
          <w:szCs w:val="22"/>
        </w:rPr>
      </w:pPr>
    </w:p>
    <w:p w14:paraId="4766D47A" w14:textId="77777777" w:rsidR="00837FBB" w:rsidRPr="00571A95" w:rsidRDefault="00837FBB" w:rsidP="00837FBB">
      <w:pPr>
        <w:tabs>
          <w:tab w:val="left" w:leader="dot" w:pos="10500"/>
        </w:tabs>
        <w:spacing w:before="0" w:after="0"/>
        <w:rPr>
          <w:rFonts w:asciiTheme="majorHAnsi" w:hAnsiTheme="majorHAnsi" w:cstheme="majorHAnsi"/>
          <w:bCs/>
          <w:sz w:val="22"/>
          <w:szCs w:val="22"/>
        </w:rPr>
      </w:pPr>
      <w:r w:rsidRPr="00571A95">
        <w:rPr>
          <w:rFonts w:asciiTheme="majorHAnsi" w:hAnsiTheme="majorHAnsi" w:cstheme="majorHAnsi"/>
          <w:bCs/>
          <w:sz w:val="22"/>
          <w:szCs w:val="22"/>
        </w:rPr>
        <w:t xml:space="preserve">L’ensemble des services de la Communauté de Communes Saône-Beaujolais et de la Commune de Belleville-en-Beaujolais sont mutualisés. </w:t>
      </w:r>
    </w:p>
    <w:p w14:paraId="4EF21B5E" w14:textId="77777777" w:rsidR="00837FBB" w:rsidRPr="00571A95" w:rsidRDefault="00837FBB" w:rsidP="00837FBB">
      <w:pPr>
        <w:tabs>
          <w:tab w:val="left" w:leader="dot" w:pos="10500"/>
        </w:tabs>
        <w:spacing w:before="0" w:after="0"/>
        <w:rPr>
          <w:rFonts w:asciiTheme="majorHAnsi" w:hAnsiTheme="majorHAnsi" w:cstheme="majorHAnsi"/>
          <w:bCs/>
          <w:sz w:val="22"/>
          <w:szCs w:val="22"/>
        </w:rPr>
      </w:pPr>
    </w:p>
    <w:p w14:paraId="3BB4F3E8" w14:textId="77777777" w:rsidR="007B1003" w:rsidRPr="00571A95" w:rsidRDefault="003120F0" w:rsidP="00837FBB">
      <w:pPr>
        <w:tabs>
          <w:tab w:val="left" w:leader="dot" w:pos="8931"/>
        </w:tabs>
        <w:spacing w:before="0" w:after="0"/>
        <w:rPr>
          <w:rFonts w:asciiTheme="majorHAnsi" w:hAnsiTheme="majorHAnsi" w:cstheme="majorHAnsi"/>
          <w:b/>
          <w:sz w:val="22"/>
          <w:szCs w:val="22"/>
        </w:rPr>
      </w:pPr>
      <w:r w:rsidRPr="00571A95">
        <w:rPr>
          <w:rFonts w:asciiTheme="majorHAnsi" w:hAnsiTheme="majorHAnsi" w:cstheme="majorHAnsi"/>
          <w:b/>
          <w:sz w:val="22"/>
          <w:szCs w:val="22"/>
        </w:rPr>
        <w:t>Votre situation</w:t>
      </w:r>
    </w:p>
    <w:p w14:paraId="27FDE832" w14:textId="6DDA51F1" w:rsidR="007B1003" w:rsidRPr="00571A95" w:rsidRDefault="003120F0" w:rsidP="00837FBB">
      <w:pPr>
        <w:pStyle w:val="NormalWeb"/>
        <w:spacing w:before="0" w:after="0"/>
        <w:jc w:val="both"/>
        <w:rPr>
          <w:rFonts w:asciiTheme="majorHAnsi" w:hAnsiTheme="majorHAnsi" w:cstheme="majorHAnsi"/>
          <w:sz w:val="22"/>
          <w:szCs w:val="22"/>
        </w:rPr>
      </w:pPr>
      <w:r w:rsidRPr="00571A95">
        <w:rPr>
          <w:rFonts w:asciiTheme="majorHAnsi" w:hAnsiTheme="majorHAnsi" w:cstheme="majorHAnsi"/>
          <w:sz w:val="22"/>
          <w:szCs w:val="22"/>
        </w:rPr>
        <w:t>Cadre d’emplois : Rédacteurs territoriaux (Catégorie B, filière Administrative) ou Attachés territoriaux (Catégorie A, filière Administrative).</w:t>
      </w:r>
      <w:r w:rsidR="00571A95">
        <w:rPr>
          <w:rFonts w:asciiTheme="majorHAnsi" w:hAnsiTheme="majorHAnsi" w:cstheme="majorHAnsi"/>
          <w:sz w:val="22"/>
          <w:szCs w:val="22"/>
        </w:rPr>
        <w:t xml:space="preserve"> Ouvert aux contractuels.</w:t>
      </w:r>
    </w:p>
    <w:p w14:paraId="52C182A1" w14:textId="77777777" w:rsidR="007B1003" w:rsidRPr="00571A95" w:rsidRDefault="003120F0" w:rsidP="00837FBB">
      <w:pPr>
        <w:pStyle w:val="NormalWeb"/>
        <w:spacing w:before="0" w:after="0"/>
        <w:jc w:val="both"/>
        <w:rPr>
          <w:rFonts w:asciiTheme="majorHAnsi" w:hAnsiTheme="majorHAnsi" w:cstheme="majorHAnsi"/>
          <w:sz w:val="22"/>
          <w:szCs w:val="22"/>
        </w:rPr>
      </w:pPr>
      <w:r w:rsidRPr="00571A95">
        <w:rPr>
          <w:rFonts w:asciiTheme="majorHAnsi" w:hAnsiTheme="majorHAnsi" w:cstheme="majorHAnsi"/>
          <w:sz w:val="22"/>
          <w:szCs w:val="22"/>
        </w:rPr>
        <w:t>Grade : Rédacteur Territorial ou Attaché Territorial.</w:t>
      </w:r>
    </w:p>
    <w:p w14:paraId="64BD4ABB" w14:textId="6386BD02" w:rsidR="007B1003" w:rsidRPr="00571A95" w:rsidRDefault="003120F0" w:rsidP="00837FBB">
      <w:pPr>
        <w:pStyle w:val="NormalWeb"/>
        <w:spacing w:before="0" w:after="0"/>
        <w:jc w:val="both"/>
        <w:rPr>
          <w:rFonts w:asciiTheme="majorHAnsi" w:hAnsiTheme="majorHAnsi" w:cstheme="majorHAnsi"/>
          <w:sz w:val="22"/>
          <w:szCs w:val="22"/>
        </w:rPr>
      </w:pPr>
      <w:r w:rsidRPr="00571A95">
        <w:rPr>
          <w:rFonts w:asciiTheme="majorHAnsi" w:hAnsiTheme="majorHAnsi" w:cstheme="majorHAnsi"/>
          <w:sz w:val="22"/>
          <w:szCs w:val="22"/>
        </w:rPr>
        <w:t xml:space="preserve">Rattachement hiérarchique direct : </w:t>
      </w:r>
      <w:r w:rsidR="00837FBB" w:rsidRPr="00571A95">
        <w:rPr>
          <w:rFonts w:asciiTheme="majorHAnsi" w:hAnsiTheme="majorHAnsi" w:cstheme="majorHAnsi"/>
          <w:sz w:val="22"/>
          <w:szCs w:val="22"/>
        </w:rPr>
        <w:t>Directrice adjointe des politiques publiques</w:t>
      </w:r>
      <w:r w:rsidRPr="00571A95">
        <w:rPr>
          <w:rFonts w:asciiTheme="majorHAnsi" w:hAnsiTheme="majorHAnsi" w:cstheme="majorHAnsi"/>
          <w:sz w:val="22"/>
          <w:szCs w:val="22"/>
        </w:rPr>
        <w:t>.</w:t>
      </w:r>
    </w:p>
    <w:p w14:paraId="4CE8C585" w14:textId="6CC29AAC" w:rsidR="007B1003" w:rsidRPr="00571A95" w:rsidRDefault="003120F0" w:rsidP="00837FBB">
      <w:pPr>
        <w:pStyle w:val="NormalWeb"/>
        <w:spacing w:before="0" w:after="0"/>
        <w:jc w:val="both"/>
        <w:rPr>
          <w:rFonts w:asciiTheme="majorHAnsi" w:hAnsiTheme="majorHAnsi" w:cstheme="majorHAnsi"/>
          <w:sz w:val="22"/>
          <w:szCs w:val="22"/>
        </w:rPr>
      </w:pPr>
      <w:r w:rsidRPr="00571A95">
        <w:rPr>
          <w:rFonts w:asciiTheme="majorHAnsi" w:hAnsiTheme="majorHAnsi" w:cstheme="majorHAnsi"/>
          <w:sz w:val="22"/>
          <w:szCs w:val="22"/>
        </w:rPr>
        <w:t>Relations fonctionnelles : Elus, services municipaux et communautaires, agents des collectivités locales partenaires, partenaires et financeurs du campus connecté, coachs, étudiants.</w:t>
      </w:r>
    </w:p>
    <w:p w14:paraId="00B49852" w14:textId="77777777" w:rsidR="00571A95" w:rsidRPr="00571A95" w:rsidRDefault="00571A95" w:rsidP="00837FBB">
      <w:pPr>
        <w:pStyle w:val="NormalWeb"/>
        <w:spacing w:before="0" w:after="0"/>
        <w:jc w:val="both"/>
        <w:rPr>
          <w:rFonts w:asciiTheme="majorHAnsi" w:hAnsiTheme="majorHAnsi" w:cstheme="majorHAnsi"/>
          <w:sz w:val="22"/>
          <w:szCs w:val="22"/>
        </w:rPr>
      </w:pPr>
    </w:p>
    <w:p w14:paraId="18EE5423" w14:textId="77777777" w:rsidR="007B1003" w:rsidRPr="00571A95" w:rsidRDefault="003120F0" w:rsidP="00837FBB">
      <w:pPr>
        <w:tabs>
          <w:tab w:val="left" w:leader="dot" w:pos="8931"/>
        </w:tabs>
        <w:spacing w:before="0" w:after="0"/>
        <w:rPr>
          <w:rFonts w:asciiTheme="majorHAnsi" w:hAnsiTheme="majorHAnsi" w:cstheme="majorHAnsi"/>
          <w:b/>
          <w:sz w:val="22"/>
          <w:szCs w:val="22"/>
        </w:rPr>
      </w:pPr>
      <w:r w:rsidRPr="00571A95">
        <w:rPr>
          <w:rFonts w:asciiTheme="majorHAnsi" w:hAnsiTheme="majorHAnsi" w:cstheme="majorHAnsi"/>
          <w:b/>
          <w:sz w:val="22"/>
          <w:szCs w:val="22"/>
        </w:rPr>
        <w:t>Vos missions</w:t>
      </w:r>
    </w:p>
    <w:p w14:paraId="0A1E8DDF" w14:textId="3F68C2CF" w:rsidR="007B1003" w:rsidRPr="00571A95" w:rsidRDefault="003120F0" w:rsidP="00837FBB">
      <w:pPr>
        <w:widowControl w:val="0"/>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 xml:space="preserve">Les missions du poste se déclinent sur </w:t>
      </w:r>
      <w:r w:rsidR="00837FBB" w:rsidRPr="00571A95">
        <w:rPr>
          <w:rFonts w:asciiTheme="majorHAnsi" w:eastAsia="Times New Roman" w:hAnsiTheme="majorHAnsi" w:cstheme="majorHAnsi"/>
          <w:sz w:val="22"/>
          <w:szCs w:val="22"/>
          <w:lang w:eastAsia="fr-FR"/>
        </w:rPr>
        <w:t>4</w:t>
      </w:r>
      <w:r w:rsidRPr="00571A95">
        <w:rPr>
          <w:rFonts w:asciiTheme="majorHAnsi" w:eastAsia="Times New Roman" w:hAnsiTheme="majorHAnsi" w:cstheme="majorHAnsi"/>
          <w:sz w:val="22"/>
          <w:szCs w:val="22"/>
          <w:lang w:eastAsia="fr-FR"/>
        </w:rPr>
        <w:t xml:space="preserve"> axes :</w:t>
      </w:r>
    </w:p>
    <w:p w14:paraId="51355E9B" w14:textId="4749F363" w:rsidR="007B1003" w:rsidRPr="00571A95" w:rsidRDefault="003120F0" w:rsidP="00571A95">
      <w:pPr>
        <w:pStyle w:val="Paragraphedeliste"/>
        <w:widowControl w:val="0"/>
        <w:numPr>
          <w:ilvl w:val="0"/>
          <w:numId w:val="4"/>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 xml:space="preserve">Assurer </w:t>
      </w:r>
      <w:r w:rsidR="00837FBB" w:rsidRPr="00571A95">
        <w:rPr>
          <w:rFonts w:asciiTheme="majorHAnsi" w:eastAsia="Times New Roman" w:hAnsiTheme="majorHAnsi" w:cstheme="majorHAnsi"/>
          <w:sz w:val="22"/>
          <w:szCs w:val="22"/>
          <w:lang w:eastAsia="fr-FR"/>
        </w:rPr>
        <w:t xml:space="preserve">le lancement, la structuration, </w:t>
      </w:r>
      <w:r w:rsidRPr="00571A95">
        <w:rPr>
          <w:rFonts w:asciiTheme="majorHAnsi" w:eastAsia="Times New Roman" w:hAnsiTheme="majorHAnsi" w:cstheme="majorHAnsi"/>
          <w:sz w:val="22"/>
          <w:szCs w:val="22"/>
          <w:lang w:eastAsia="fr-FR"/>
        </w:rPr>
        <w:t>l’organisation et le suivi comptable et administratif du campus connecté.</w:t>
      </w:r>
    </w:p>
    <w:p w14:paraId="077B3BCD" w14:textId="40F9A063" w:rsidR="007B1003" w:rsidRPr="00571A95" w:rsidRDefault="003120F0" w:rsidP="00571A95">
      <w:pPr>
        <w:pStyle w:val="Paragraphedeliste"/>
        <w:widowControl w:val="0"/>
        <w:numPr>
          <w:ilvl w:val="0"/>
          <w:numId w:val="4"/>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Supervis</w:t>
      </w:r>
      <w:r w:rsidR="00837FBB" w:rsidRPr="00571A95">
        <w:rPr>
          <w:rFonts w:asciiTheme="majorHAnsi" w:eastAsia="Times New Roman" w:hAnsiTheme="majorHAnsi" w:cstheme="majorHAnsi"/>
          <w:sz w:val="22"/>
          <w:szCs w:val="22"/>
          <w:lang w:eastAsia="fr-FR"/>
        </w:rPr>
        <w:t>er</w:t>
      </w:r>
      <w:r w:rsidRPr="00571A95">
        <w:rPr>
          <w:rFonts w:asciiTheme="majorHAnsi" w:eastAsia="Times New Roman" w:hAnsiTheme="majorHAnsi" w:cstheme="majorHAnsi"/>
          <w:sz w:val="22"/>
          <w:szCs w:val="22"/>
          <w:lang w:eastAsia="fr-FR"/>
        </w:rPr>
        <w:t xml:space="preserve"> </w:t>
      </w:r>
      <w:r w:rsidR="00837FBB" w:rsidRPr="00571A95">
        <w:rPr>
          <w:rFonts w:asciiTheme="majorHAnsi" w:eastAsia="Times New Roman" w:hAnsiTheme="majorHAnsi" w:cstheme="majorHAnsi"/>
          <w:sz w:val="22"/>
          <w:szCs w:val="22"/>
          <w:lang w:eastAsia="fr-FR"/>
        </w:rPr>
        <w:t>le</w:t>
      </w:r>
      <w:r w:rsidRPr="00571A95">
        <w:rPr>
          <w:rFonts w:asciiTheme="majorHAnsi" w:eastAsia="Times New Roman" w:hAnsiTheme="majorHAnsi" w:cstheme="majorHAnsi"/>
          <w:sz w:val="22"/>
          <w:szCs w:val="22"/>
          <w:lang w:eastAsia="fr-FR"/>
        </w:rPr>
        <w:t xml:space="preserve"> ou </w:t>
      </w:r>
      <w:r w:rsidR="00837FBB" w:rsidRPr="00571A95">
        <w:rPr>
          <w:rFonts w:asciiTheme="majorHAnsi" w:eastAsia="Times New Roman" w:hAnsiTheme="majorHAnsi" w:cstheme="majorHAnsi"/>
          <w:sz w:val="22"/>
          <w:szCs w:val="22"/>
          <w:lang w:eastAsia="fr-FR"/>
        </w:rPr>
        <w:t>l</w:t>
      </w:r>
      <w:r w:rsidRPr="00571A95">
        <w:rPr>
          <w:rFonts w:asciiTheme="majorHAnsi" w:eastAsia="Times New Roman" w:hAnsiTheme="majorHAnsi" w:cstheme="majorHAnsi"/>
          <w:sz w:val="22"/>
          <w:szCs w:val="22"/>
          <w:lang w:eastAsia="fr-FR"/>
        </w:rPr>
        <w:t>es tuteurs du campus connecté.</w:t>
      </w:r>
    </w:p>
    <w:p w14:paraId="663ED2DA" w14:textId="14F7607F" w:rsidR="00837FBB" w:rsidRPr="00571A95" w:rsidRDefault="00571A95" w:rsidP="00571A95">
      <w:pPr>
        <w:pStyle w:val="Paragraphedeliste"/>
        <w:widowControl w:val="0"/>
        <w:numPr>
          <w:ilvl w:val="0"/>
          <w:numId w:val="4"/>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Accompagner la direction et les élus dans le cadre d’initiative territoriale en matière de développement de la formation professionnelle et de l’accès à l’enseignement supérieur</w:t>
      </w:r>
    </w:p>
    <w:p w14:paraId="6BAFF06E" w14:textId="6AD9978E" w:rsidR="00837FBB" w:rsidRPr="00571A95" w:rsidRDefault="00837FBB" w:rsidP="00571A95">
      <w:pPr>
        <w:pStyle w:val="Paragraphedeliste"/>
        <w:widowControl w:val="0"/>
        <w:numPr>
          <w:ilvl w:val="0"/>
          <w:numId w:val="4"/>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Le cas échéant, suivi de quelques étudiants en propre</w:t>
      </w:r>
    </w:p>
    <w:p w14:paraId="38982410" w14:textId="77777777" w:rsidR="00837FBB" w:rsidRPr="00571A95" w:rsidRDefault="00837FBB" w:rsidP="00837FBB">
      <w:pPr>
        <w:widowControl w:val="0"/>
        <w:spacing w:before="0" w:after="0"/>
        <w:rPr>
          <w:rFonts w:asciiTheme="majorHAnsi" w:eastAsia="Times New Roman" w:hAnsiTheme="majorHAnsi" w:cstheme="majorHAnsi"/>
          <w:sz w:val="22"/>
          <w:szCs w:val="22"/>
          <w:lang w:eastAsia="fr-FR"/>
        </w:rPr>
      </w:pPr>
    </w:p>
    <w:p w14:paraId="1DB1D2A2" w14:textId="77777777" w:rsidR="007B1003" w:rsidRPr="00571A95" w:rsidRDefault="003120F0" w:rsidP="00837FBB">
      <w:pPr>
        <w:tabs>
          <w:tab w:val="left" w:leader="dot" w:pos="8931"/>
        </w:tabs>
        <w:spacing w:before="0" w:after="0"/>
        <w:rPr>
          <w:rFonts w:asciiTheme="majorHAnsi" w:hAnsiTheme="majorHAnsi" w:cstheme="majorHAnsi"/>
          <w:sz w:val="22"/>
          <w:szCs w:val="22"/>
        </w:rPr>
      </w:pPr>
      <w:r w:rsidRPr="00571A95">
        <w:rPr>
          <w:rFonts w:asciiTheme="majorHAnsi" w:hAnsiTheme="majorHAnsi" w:cstheme="majorHAnsi"/>
          <w:b/>
          <w:sz w:val="22"/>
          <w:szCs w:val="22"/>
        </w:rPr>
        <w:t>Le périmètre de votre emploi</w:t>
      </w:r>
    </w:p>
    <w:p w14:paraId="49EA5C4E" w14:textId="41EB1E59" w:rsidR="007B1003" w:rsidRPr="00571A95" w:rsidRDefault="003120F0" w:rsidP="00837FBB">
      <w:pPr>
        <w:tabs>
          <w:tab w:val="left" w:leader="dot" w:pos="10547"/>
        </w:tabs>
        <w:spacing w:before="0" w:after="0"/>
        <w:rPr>
          <w:rFonts w:asciiTheme="majorHAnsi" w:hAnsiTheme="majorHAnsi" w:cstheme="majorHAnsi"/>
          <w:sz w:val="22"/>
          <w:szCs w:val="22"/>
        </w:rPr>
      </w:pPr>
      <w:r w:rsidRPr="00571A95">
        <w:rPr>
          <w:rFonts w:asciiTheme="majorHAnsi" w:hAnsiTheme="majorHAnsi" w:cstheme="majorHAnsi"/>
          <w:sz w:val="22"/>
          <w:szCs w:val="22"/>
        </w:rPr>
        <w:t>Votre temps de travail : 0.5 d’un ETP</w:t>
      </w:r>
      <w:r w:rsidR="00837FBB" w:rsidRPr="00571A95">
        <w:rPr>
          <w:rFonts w:asciiTheme="majorHAnsi" w:hAnsiTheme="majorHAnsi" w:cstheme="majorHAnsi"/>
          <w:sz w:val="22"/>
          <w:szCs w:val="22"/>
        </w:rPr>
        <w:t xml:space="preserve"> s’agissant de la coordination du campus connecté et l’encadrement des coach, 0.2 sur de l’éventuel tutorat d’étudiants et 0.3 sur la coordination de l’enseignement supérieure </w:t>
      </w:r>
      <w:r w:rsidR="00571A95">
        <w:rPr>
          <w:rFonts w:asciiTheme="majorHAnsi" w:hAnsiTheme="majorHAnsi" w:cstheme="majorHAnsi"/>
          <w:sz w:val="22"/>
          <w:szCs w:val="22"/>
        </w:rPr>
        <w:t>e</w:t>
      </w:r>
      <w:r w:rsidR="00837FBB" w:rsidRPr="00571A95">
        <w:rPr>
          <w:rFonts w:asciiTheme="majorHAnsi" w:hAnsiTheme="majorHAnsi" w:cstheme="majorHAnsi"/>
          <w:sz w:val="22"/>
          <w:szCs w:val="22"/>
        </w:rPr>
        <w:t>t de la formation professionnelle sur le territoire intercommunal</w:t>
      </w:r>
      <w:r w:rsidRPr="00571A95">
        <w:rPr>
          <w:rFonts w:asciiTheme="majorHAnsi" w:hAnsiTheme="majorHAnsi" w:cstheme="majorHAnsi"/>
          <w:sz w:val="22"/>
          <w:szCs w:val="22"/>
        </w:rPr>
        <w:t>.</w:t>
      </w:r>
    </w:p>
    <w:p w14:paraId="3EE3F2CE" w14:textId="2C6887D1" w:rsidR="007B1003" w:rsidRPr="00571A95" w:rsidRDefault="003120F0" w:rsidP="00837FBB">
      <w:pPr>
        <w:pStyle w:val="NormalWeb"/>
        <w:spacing w:before="0" w:after="0"/>
        <w:jc w:val="both"/>
        <w:rPr>
          <w:rFonts w:asciiTheme="majorHAnsi" w:hAnsiTheme="majorHAnsi" w:cstheme="majorHAnsi"/>
          <w:sz w:val="22"/>
          <w:szCs w:val="22"/>
        </w:rPr>
      </w:pPr>
      <w:r w:rsidRPr="00571A95">
        <w:rPr>
          <w:rFonts w:asciiTheme="majorHAnsi" w:hAnsiTheme="majorHAnsi" w:cstheme="majorHAnsi"/>
          <w:sz w:val="22"/>
          <w:szCs w:val="22"/>
        </w:rPr>
        <w:t>Vos horaires de travail : Horaires variables et pics d'activité en fonction des obligations du service et de la demande</w:t>
      </w:r>
    </w:p>
    <w:p w14:paraId="49E693D7" w14:textId="55E96326" w:rsidR="007B1003" w:rsidRDefault="003120F0" w:rsidP="00837FBB">
      <w:pPr>
        <w:pStyle w:val="NormalWeb"/>
        <w:spacing w:before="0" w:after="0"/>
        <w:jc w:val="both"/>
        <w:rPr>
          <w:rFonts w:asciiTheme="majorHAnsi" w:hAnsiTheme="majorHAnsi" w:cstheme="majorHAnsi"/>
          <w:sz w:val="22"/>
          <w:szCs w:val="22"/>
        </w:rPr>
      </w:pPr>
      <w:r w:rsidRPr="00571A95">
        <w:rPr>
          <w:rFonts w:asciiTheme="majorHAnsi" w:hAnsiTheme="majorHAnsi" w:cstheme="majorHAnsi"/>
          <w:sz w:val="22"/>
          <w:szCs w:val="22"/>
        </w:rPr>
        <w:t>Spécificités du poste : être disponible au regard d'horaires de travail variables.</w:t>
      </w:r>
    </w:p>
    <w:p w14:paraId="758D9A2B" w14:textId="77777777" w:rsidR="00571A95" w:rsidRPr="00571A95" w:rsidRDefault="00571A95" w:rsidP="00837FBB">
      <w:pPr>
        <w:pStyle w:val="NormalWeb"/>
        <w:spacing w:before="0" w:after="0"/>
        <w:jc w:val="both"/>
        <w:rPr>
          <w:rFonts w:asciiTheme="majorHAnsi" w:hAnsiTheme="majorHAnsi" w:cstheme="majorHAnsi"/>
          <w:sz w:val="22"/>
          <w:szCs w:val="22"/>
        </w:rPr>
      </w:pPr>
    </w:p>
    <w:p w14:paraId="2DC27221" w14:textId="77777777" w:rsidR="007B1003" w:rsidRPr="00571A95" w:rsidRDefault="003120F0" w:rsidP="00837FBB">
      <w:pPr>
        <w:tabs>
          <w:tab w:val="left" w:leader="dot" w:pos="8931"/>
        </w:tabs>
        <w:spacing w:before="0" w:after="0"/>
        <w:rPr>
          <w:rFonts w:asciiTheme="majorHAnsi" w:hAnsiTheme="majorHAnsi" w:cstheme="majorHAnsi"/>
          <w:b/>
          <w:sz w:val="22"/>
          <w:szCs w:val="22"/>
        </w:rPr>
      </w:pPr>
      <w:r w:rsidRPr="00571A95">
        <w:rPr>
          <w:rFonts w:asciiTheme="majorHAnsi" w:hAnsiTheme="majorHAnsi" w:cstheme="majorHAnsi"/>
          <w:b/>
          <w:sz w:val="22"/>
          <w:szCs w:val="22"/>
        </w:rPr>
        <w:t>Compétences professionnelles</w:t>
      </w:r>
    </w:p>
    <w:p w14:paraId="17A1195B" w14:textId="77777777" w:rsidR="007B1003" w:rsidRPr="00571A95" w:rsidRDefault="003120F0" w:rsidP="00837FBB">
      <w:pPr>
        <w:pStyle w:val="NormalWeb"/>
        <w:spacing w:before="0" w:after="0"/>
        <w:rPr>
          <w:rFonts w:asciiTheme="majorHAnsi" w:hAnsiTheme="majorHAnsi" w:cstheme="majorHAnsi"/>
          <w:b/>
          <w:i/>
          <w:sz w:val="22"/>
          <w:szCs w:val="22"/>
          <w:u w:val="single"/>
        </w:rPr>
      </w:pPr>
      <w:r w:rsidRPr="00571A95">
        <w:rPr>
          <w:rFonts w:asciiTheme="majorHAnsi" w:hAnsiTheme="majorHAnsi" w:cstheme="majorHAnsi"/>
          <w:b/>
          <w:i/>
          <w:sz w:val="22"/>
          <w:szCs w:val="22"/>
          <w:u w:val="single"/>
        </w:rPr>
        <w:t xml:space="preserve">Savoirs : </w:t>
      </w:r>
    </w:p>
    <w:p w14:paraId="1A5688D5" w14:textId="77777777" w:rsidR="007B1003" w:rsidRPr="00571A95" w:rsidRDefault="003120F0" w:rsidP="00571A95">
      <w:pPr>
        <w:pStyle w:val="NormalWeb"/>
        <w:numPr>
          <w:ilvl w:val="0"/>
          <w:numId w:val="5"/>
        </w:numPr>
        <w:spacing w:before="0" w:after="0"/>
        <w:jc w:val="both"/>
        <w:rPr>
          <w:rFonts w:asciiTheme="majorHAnsi" w:hAnsiTheme="majorHAnsi" w:cstheme="majorHAnsi"/>
          <w:sz w:val="22"/>
          <w:szCs w:val="22"/>
        </w:rPr>
      </w:pPr>
      <w:r w:rsidRPr="00571A95">
        <w:rPr>
          <w:rFonts w:asciiTheme="majorHAnsi" w:hAnsiTheme="majorHAnsi" w:cstheme="majorHAnsi"/>
          <w:sz w:val="22"/>
          <w:szCs w:val="22"/>
        </w:rPr>
        <w:t>Connaître le statut de la Fonction Publique Territoriale et le fonctionnement des services de la collectivité.</w:t>
      </w:r>
    </w:p>
    <w:p w14:paraId="04CC25E1" w14:textId="77777777" w:rsidR="007B1003" w:rsidRPr="00571A95" w:rsidRDefault="003120F0" w:rsidP="00571A95">
      <w:pPr>
        <w:pStyle w:val="Paragraphedeliste"/>
        <w:numPr>
          <w:ilvl w:val="0"/>
          <w:numId w:val="5"/>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 xml:space="preserve">Fonctionnement de l’enseignement supérieur. </w:t>
      </w:r>
    </w:p>
    <w:p w14:paraId="26D5DBB1" w14:textId="77777777" w:rsidR="007B1003" w:rsidRPr="00571A95" w:rsidRDefault="003120F0" w:rsidP="00571A95">
      <w:pPr>
        <w:pStyle w:val="Paragraphedeliste"/>
        <w:numPr>
          <w:ilvl w:val="0"/>
          <w:numId w:val="5"/>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 xml:space="preserve">Techniques de secrétariat. </w:t>
      </w:r>
    </w:p>
    <w:p w14:paraId="7559DC8E" w14:textId="77777777" w:rsidR="007B1003" w:rsidRPr="00571A95" w:rsidRDefault="003120F0" w:rsidP="00571A95">
      <w:pPr>
        <w:pStyle w:val="Paragraphedeliste"/>
        <w:numPr>
          <w:ilvl w:val="0"/>
          <w:numId w:val="5"/>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Maitrise de l'expression orale et écrite.</w:t>
      </w:r>
    </w:p>
    <w:p w14:paraId="136F29D3" w14:textId="77777777" w:rsidR="007B1003" w:rsidRPr="00571A95" w:rsidRDefault="003120F0" w:rsidP="00571A95">
      <w:pPr>
        <w:pStyle w:val="Paragraphedeliste"/>
        <w:numPr>
          <w:ilvl w:val="0"/>
          <w:numId w:val="5"/>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Règles d'orthographe, syntaxe et grammaire, principes rédactionnels de la note de synthèse et du compte rendu.</w:t>
      </w:r>
    </w:p>
    <w:p w14:paraId="2AA44F68" w14:textId="77777777" w:rsidR="007B1003" w:rsidRPr="00571A95" w:rsidRDefault="003120F0" w:rsidP="00571A95">
      <w:pPr>
        <w:pStyle w:val="Paragraphedeliste"/>
        <w:numPr>
          <w:ilvl w:val="0"/>
          <w:numId w:val="5"/>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Maîtrise des outils bureautiques (word, excel...).</w:t>
      </w:r>
    </w:p>
    <w:p w14:paraId="73BED769" w14:textId="65A592DB" w:rsidR="00837FBB" w:rsidRPr="00571A95" w:rsidRDefault="003120F0" w:rsidP="00571A95">
      <w:pPr>
        <w:pStyle w:val="Paragraphedeliste"/>
        <w:numPr>
          <w:ilvl w:val="0"/>
          <w:numId w:val="5"/>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Notions de gestion comptable et comptabilité analytique.</w:t>
      </w:r>
    </w:p>
    <w:p w14:paraId="1BFFC00A" w14:textId="77777777" w:rsidR="00837FBB" w:rsidRPr="00571A95" w:rsidRDefault="00837FBB" w:rsidP="00837FBB">
      <w:pPr>
        <w:spacing w:before="0" w:after="0"/>
        <w:rPr>
          <w:rFonts w:asciiTheme="majorHAnsi" w:eastAsia="Times New Roman" w:hAnsiTheme="majorHAnsi" w:cstheme="majorHAnsi"/>
          <w:sz w:val="22"/>
          <w:szCs w:val="22"/>
          <w:lang w:eastAsia="fr-FR"/>
        </w:rPr>
      </w:pPr>
    </w:p>
    <w:p w14:paraId="0FE85A61" w14:textId="3D77095D" w:rsidR="00837FBB" w:rsidRPr="00571A95" w:rsidRDefault="003120F0" w:rsidP="00837FBB">
      <w:pPr>
        <w:tabs>
          <w:tab w:val="left" w:leader="dot" w:pos="10547"/>
        </w:tabs>
        <w:spacing w:before="0" w:after="0"/>
        <w:rPr>
          <w:rFonts w:asciiTheme="majorHAnsi" w:hAnsiTheme="majorHAnsi" w:cstheme="majorHAnsi"/>
          <w:b/>
          <w:i/>
          <w:sz w:val="22"/>
          <w:szCs w:val="22"/>
          <w:u w:val="single"/>
        </w:rPr>
      </w:pPr>
      <w:r w:rsidRPr="00571A95">
        <w:rPr>
          <w:rFonts w:asciiTheme="majorHAnsi" w:hAnsiTheme="majorHAnsi" w:cstheme="majorHAnsi"/>
          <w:b/>
          <w:i/>
          <w:sz w:val="22"/>
          <w:szCs w:val="22"/>
          <w:u w:val="single"/>
        </w:rPr>
        <w:t xml:space="preserve">Savoir-faire : </w:t>
      </w:r>
    </w:p>
    <w:p w14:paraId="72C70B10" w14:textId="30118EE8" w:rsidR="007B1003" w:rsidRPr="00571A95" w:rsidRDefault="003120F0" w:rsidP="00571A95">
      <w:pPr>
        <w:pStyle w:val="Paragraphedeliste"/>
        <w:widowControl w:val="0"/>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Traiter les courriers, proposer et rédiger des réponses = mettre en forme tous types de documents.</w:t>
      </w:r>
    </w:p>
    <w:p w14:paraId="59005222" w14:textId="32BB1792" w:rsidR="007B1003" w:rsidRPr="00571A95" w:rsidRDefault="003120F0" w:rsidP="00571A95">
      <w:pPr>
        <w:pStyle w:val="Paragraphedeliste"/>
        <w:widowControl w:val="0"/>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Préparation et suivi du budget du campus (commandes, gestion des factures, suivi des enveloppes budgétaires, élaboration du budget de l'année N+1).</w:t>
      </w:r>
    </w:p>
    <w:p w14:paraId="7C5BBCC9" w14:textId="3D679D7A" w:rsidR="007B1003" w:rsidRPr="00571A95" w:rsidRDefault="003120F0" w:rsidP="00571A95">
      <w:pPr>
        <w:pStyle w:val="Paragraphedeliste"/>
        <w:widowControl w:val="0"/>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Elaborer le rapport financier et le rapport d’activités du campus.</w:t>
      </w:r>
    </w:p>
    <w:p w14:paraId="66667470" w14:textId="6E1BC545" w:rsidR="007B1003" w:rsidRPr="00571A95" w:rsidRDefault="003120F0" w:rsidP="00571A95">
      <w:pPr>
        <w:pStyle w:val="Paragraphedeliste"/>
        <w:widowControl w:val="0"/>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Créer et gérer les indicateurs liés à l’activité du campus connecté. En faire l’analyse pour le COPIL (pour présentation aux financeurs et partenaires).</w:t>
      </w:r>
    </w:p>
    <w:p w14:paraId="038DCBA0" w14:textId="55959506" w:rsidR="007B1003" w:rsidRPr="00571A95" w:rsidRDefault="003120F0" w:rsidP="00571A95">
      <w:pPr>
        <w:pStyle w:val="Paragraphedeliste"/>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Rechercher de co-financements pour la pérennisation du campus.</w:t>
      </w:r>
    </w:p>
    <w:p w14:paraId="71C971EB" w14:textId="476C5E10" w:rsidR="007B1003" w:rsidRPr="00571A95" w:rsidRDefault="003120F0" w:rsidP="00571A95">
      <w:pPr>
        <w:pStyle w:val="Paragraphedeliste"/>
        <w:widowControl w:val="0"/>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Veiller à la bonne organisation et planification des réunions (Comité Pédagogique et Comité de Pilotage) : ordres du jour, préparation des réunions, prises de notes, comptes rendus,....</w:t>
      </w:r>
    </w:p>
    <w:p w14:paraId="5824386F" w14:textId="6C825272" w:rsidR="007B1003" w:rsidRPr="00571A95" w:rsidRDefault="003120F0" w:rsidP="00571A95">
      <w:pPr>
        <w:pStyle w:val="Paragraphedeliste"/>
        <w:numPr>
          <w:ilvl w:val="0"/>
          <w:numId w:val="6"/>
        </w:numPr>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Intégrer les priorités du campus dans la gestion quotidienne des activités.</w:t>
      </w:r>
    </w:p>
    <w:p w14:paraId="0095E21B" w14:textId="77777777" w:rsidR="007B1003" w:rsidRPr="00571A95" w:rsidRDefault="003120F0" w:rsidP="00837FBB">
      <w:pPr>
        <w:spacing w:before="0" w:after="0"/>
        <w:jc w:val="left"/>
        <w:rPr>
          <w:rFonts w:asciiTheme="majorHAnsi" w:hAnsiTheme="majorHAnsi" w:cstheme="majorHAnsi"/>
          <w:b/>
          <w:i/>
          <w:sz w:val="22"/>
          <w:szCs w:val="22"/>
        </w:rPr>
      </w:pPr>
      <w:r w:rsidRPr="00571A95">
        <w:rPr>
          <w:rFonts w:asciiTheme="majorHAnsi" w:hAnsiTheme="majorHAnsi" w:cstheme="majorHAnsi"/>
          <w:b/>
          <w:i/>
          <w:sz w:val="22"/>
          <w:szCs w:val="22"/>
        </w:rPr>
        <w:br w:type="page"/>
      </w:r>
    </w:p>
    <w:p w14:paraId="110FC8E1" w14:textId="77777777" w:rsidR="007B1003" w:rsidRPr="00571A95" w:rsidRDefault="003120F0" w:rsidP="00837FBB">
      <w:pPr>
        <w:tabs>
          <w:tab w:val="left" w:leader="dot" w:pos="8931"/>
        </w:tabs>
        <w:spacing w:before="0" w:after="0"/>
        <w:rPr>
          <w:rFonts w:asciiTheme="majorHAnsi" w:hAnsiTheme="majorHAnsi" w:cstheme="majorHAnsi"/>
          <w:b/>
          <w:i/>
          <w:sz w:val="22"/>
          <w:szCs w:val="22"/>
        </w:rPr>
      </w:pPr>
      <w:r w:rsidRPr="00571A95">
        <w:rPr>
          <w:rFonts w:asciiTheme="majorHAnsi" w:hAnsiTheme="majorHAnsi" w:cstheme="majorHAnsi"/>
          <w:b/>
          <w:i/>
          <w:sz w:val="22"/>
          <w:szCs w:val="22"/>
        </w:rPr>
        <w:lastRenderedPageBreak/>
        <w:t>Superviser le ou les tuteurs :</w:t>
      </w:r>
    </w:p>
    <w:p w14:paraId="259A1384" w14:textId="77777777" w:rsidR="007B1003" w:rsidRPr="00571A95" w:rsidRDefault="003120F0" w:rsidP="00837FBB">
      <w:pPr>
        <w:widowControl w:val="0"/>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 S’assurer de la qualité d’accompagnement individuel et collectif dispensé par le ou les tuteurs.</w:t>
      </w:r>
    </w:p>
    <w:p w14:paraId="22EB81A3" w14:textId="77777777" w:rsidR="007B1003" w:rsidRPr="00571A95" w:rsidRDefault="003120F0" w:rsidP="00837FBB">
      <w:pPr>
        <w:widowControl w:val="0"/>
        <w:spacing w:before="0" w:after="0"/>
        <w:rPr>
          <w:rFonts w:asciiTheme="majorHAnsi" w:hAnsiTheme="majorHAnsi" w:cstheme="majorHAnsi"/>
          <w:sz w:val="22"/>
          <w:szCs w:val="22"/>
        </w:rPr>
      </w:pPr>
      <w:r w:rsidRPr="00571A95">
        <w:rPr>
          <w:rFonts w:asciiTheme="majorHAnsi" w:eastAsia="Times New Roman" w:hAnsiTheme="majorHAnsi" w:cstheme="majorHAnsi"/>
          <w:sz w:val="22"/>
          <w:szCs w:val="22"/>
          <w:lang w:eastAsia="fr-FR"/>
        </w:rPr>
        <w:t>- Echanges réguliers sur les résultats des étudiants et l’avancement de leur projet d’étude.</w:t>
      </w:r>
    </w:p>
    <w:p w14:paraId="3FD921C5" w14:textId="77777777" w:rsidR="007B1003" w:rsidRPr="00571A95" w:rsidRDefault="003120F0" w:rsidP="00837FBB">
      <w:pPr>
        <w:tabs>
          <w:tab w:val="left" w:leader="dot" w:pos="10547"/>
        </w:tabs>
        <w:spacing w:before="0" w:after="0"/>
        <w:rPr>
          <w:rFonts w:asciiTheme="majorHAnsi" w:hAnsiTheme="majorHAnsi" w:cstheme="majorHAnsi"/>
          <w:b/>
          <w:i/>
          <w:sz w:val="22"/>
          <w:szCs w:val="22"/>
          <w:u w:val="single"/>
        </w:rPr>
      </w:pPr>
      <w:r w:rsidRPr="00571A95">
        <w:rPr>
          <w:rFonts w:asciiTheme="majorHAnsi" w:hAnsiTheme="majorHAnsi" w:cstheme="majorHAnsi"/>
          <w:b/>
          <w:i/>
          <w:sz w:val="22"/>
          <w:szCs w:val="22"/>
          <w:u w:val="single"/>
        </w:rPr>
        <w:t xml:space="preserve">Savoir-être : </w:t>
      </w:r>
    </w:p>
    <w:p w14:paraId="4FFE942A"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Etre force de propositions.</w:t>
      </w:r>
    </w:p>
    <w:p w14:paraId="7486E1C0"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Etre disponible.</w:t>
      </w:r>
    </w:p>
    <w:p w14:paraId="758F826D"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Avoir une aisance relationnelle.</w:t>
      </w:r>
    </w:p>
    <w:p w14:paraId="1D8B7D38"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Etre autonome et savoir s’adapter dans l'organisation du travail et la gestion des priorités.</w:t>
      </w:r>
    </w:p>
    <w:p w14:paraId="0B4F9D4C"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Etre rigoureux.</w:t>
      </w:r>
    </w:p>
    <w:p w14:paraId="508EEA35"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Faire preuve de confidentialité, de discrétion.</w:t>
      </w:r>
    </w:p>
    <w:p w14:paraId="15BBDCC1" w14:textId="77777777" w:rsidR="007B1003" w:rsidRPr="00571A95" w:rsidRDefault="003120F0" w:rsidP="00837FBB">
      <w:pPr>
        <w:spacing w:before="0" w:after="0"/>
        <w:rPr>
          <w:rFonts w:asciiTheme="majorHAnsi" w:eastAsia="Times New Roman" w:hAnsiTheme="majorHAnsi" w:cstheme="majorHAnsi"/>
          <w:sz w:val="22"/>
          <w:szCs w:val="22"/>
          <w:lang w:eastAsia="fr-FR"/>
        </w:rPr>
      </w:pPr>
      <w:r w:rsidRPr="00571A95">
        <w:rPr>
          <w:rFonts w:asciiTheme="majorHAnsi" w:eastAsia="Times New Roman" w:hAnsiTheme="majorHAnsi" w:cstheme="majorHAnsi"/>
          <w:sz w:val="22"/>
          <w:szCs w:val="22"/>
          <w:lang w:eastAsia="fr-FR"/>
        </w:rPr>
        <w:t>Avoir une certaine capacité d'écoute.</w:t>
      </w:r>
    </w:p>
    <w:sectPr w:rsidR="007B1003" w:rsidRPr="00571A95">
      <w:footerReference w:type="even" r:id="rId8"/>
      <w:pgSz w:w="11906" w:h="16838"/>
      <w:pgMar w:top="567" w:right="707" w:bottom="766" w:left="567" w:header="720"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E62E" w14:textId="77777777" w:rsidR="00D25C1E" w:rsidRDefault="00D25C1E">
      <w:pPr>
        <w:spacing w:after="0"/>
      </w:pPr>
      <w:r>
        <w:separator/>
      </w:r>
    </w:p>
  </w:endnote>
  <w:endnote w:type="continuationSeparator" w:id="0">
    <w:p w14:paraId="21041DF4" w14:textId="77777777" w:rsidR="00D25C1E" w:rsidRDefault="00D25C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7F04" w14:textId="77777777" w:rsidR="007B1003" w:rsidRDefault="003120F0">
    <w:pPr>
      <w:pStyle w:val="Pieddepage"/>
      <w:rPr>
        <w:rFonts w:ascii="Calibri" w:hAnsi="Calibri"/>
        <w:sz w:val="16"/>
        <w:szCs w:val="16"/>
      </w:rPr>
    </w:pPr>
    <w:r>
      <w:rPr>
        <w:rFonts w:ascii="Calibri" w:hAnsi="Calibri"/>
        <w:noProof/>
        <w:sz w:val="16"/>
        <w:szCs w:val="16"/>
        <w:lang w:eastAsia="fr-FR"/>
      </w:rPr>
      <mc:AlternateContent>
        <mc:Choice Requires="wpg">
          <w:drawing>
            <wp:anchor distT="0" distB="0" distL="114300" distR="114300" simplePos="0" relativeHeight="251659264" behindDoc="1" locked="0" layoutInCell="1" allowOverlap="1" wp14:anchorId="35B7144E" wp14:editId="4B92BB11">
              <wp:simplePos x="0" y="0"/>
              <wp:positionH relativeFrom="column">
                <wp:posOffset>4736520</wp:posOffset>
              </wp:positionH>
              <wp:positionV relativeFrom="paragraph">
                <wp:posOffset>-2436480</wp:posOffset>
              </wp:positionV>
              <wp:extent cx="2324160" cy="2819520"/>
              <wp:effectExtent l="0" t="0" r="0" b="0"/>
              <wp:wrapNone/>
              <wp:docPr id="2" name="Etoile"/>
              <wp:cNvGraphicFramePr>
                <a:graphicFrameLocks xmlns:a="http://schemas.openxmlformats.org/drawingml/2006/main" noMove="1" noResize="1"/>
              </wp:cNvGraphicFramePr>
              <a:graphic xmlns:a="http://schemas.openxmlformats.org/drawingml/2006/main">
                <a:graphicData uri="http://schemas.openxmlformats.org/drawingml/2006/picture">
                  <pic:pic xmlns:pic="http://schemas.openxmlformats.org/drawingml/2006/picture">
                    <pic:nvPicPr>
                      <pic:cNvPr id="6" name=""/>
                      <pic:cNvPicPr>
                        <a:picLocks noMove="1" noResize="1"/>
                      </pic:cNvPicPr>
                    </pic:nvPicPr>
                    <pic:blipFill>
                      <a:blip r:embed="rId1">
                        <a:lum bright="-50000"/>
                        <a:alphaModFix/>
                      </a:blip>
                      <a:srcRect r="37431" b="30504"/>
                      <a:stretch/>
                    </pic:blipFill>
                    <pic:spPr bwMode="auto">
                      <a:xfrm>
                        <a:off x="0" y="0"/>
                        <a:ext cx="2324160" cy="2819519"/>
                      </a:xfrm>
                      <a:prstGeom prst="rect">
                        <a:avLst/>
                      </a:prstGeom>
                      <a:ln>
                        <a:noFill/>
                        <a:prstDash val="soli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text;margin-left:373.0pt;mso-position-horizontal:absolute;mso-position-vertical-relative:text;margin-top:-191.8pt;mso-position-vertical:absolute;width:183.0pt;height:222.0pt;" stroked="f">
              <v:path textboxrect="0,0,0,0"/>
              <v:imagedata r:id="rId2" o:title=""/>
            </v:shape>
          </w:pict>
        </mc:Fallback>
      </mc:AlternateContent>
    </w:r>
    <w:r>
      <w:rPr>
        <w:rFonts w:ascii="Calibri" w:hAnsi="Calibri"/>
        <w:sz w:val="16"/>
        <w:szCs w:val="16"/>
      </w:rPr>
      <w:t>Fiche révisable à tout moment en fonction des nécessités de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D4C5" w14:textId="77777777" w:rsidR="00D25C1E" w:rsidRDefault="00D25C1E">
      <w:pPr>
        <w:spacing w:before="0" w:after="0"/>
      </w:pPr>
      <w:r>
        <w:rPr>
          <w:color w:val="000000"/>
        </w:rPr>
        <w:separator/>
      </w:r>
    </w:p>
  </w:footnote>
  <w:footnote w:type="continuationSeparator" w:id="0">
    <w:p w14:paraId="7D1B3706" w14:textId="77777777" w:rsidR="00D25C1E" w:rsidRDefault="00D25C1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1A7"/>
    <w:multiLevelType w:val="hybridMultilevel"/>
    <w:tmpl w:val="B382F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5732E"/>
    <w:multiLevelType w:val="hybridMultilevel"/>
    <w:tmpl w:val="170A3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21A8A"/>
    <w:multiLevelType w:val="hybridMultilevel"/>
    <w:tmpl w:val="90906CCC"/>
    <w:lvl w:ilvl="0" w:tplc="33F25AA6">
      <w:start w:val="1"/>
      <w:numFmt w:val="bullet"/>
      <w:lvlText w:val="-"/>
      <w:lvlJc w:val="left"/>
      <w:pPr>
        <w:ind w:left="502" w:hanging="360"/>
      </w:pPr>
      <w:rPr>
        <w:rFonts w:ascii="Calibri" w:eastAsia="Calibri" w:hAnsi="Calibri" w:cs="Times New Roman" w:hint="default"/>
      </w:rPr>
    </w:lvl>
    <w:lvl w:ilvl="1" w:tplc="F9827F9E">
      <w:start w:val="1"/>
      <w:numFmt w:val="bullet"/>
      <w:lvlText w:val="o"/>
      <w:lvlJc w:val="left"/>
      <w:pPr>
        <w:ind w:left="1222" w:hanging="360"/>
      </w:pPr>
      <w:rPr>
        <w:rFonts w:ascii="Courier New" w:hAnsi="Courier New" w:cs="Courier New" w:hint="default"/>
      </w:rPr>
    </w:lvl>
    <w:lvl w:ilvl="2" w:tplc="6DF6DD32">
      <w:start w:val="1"/>
      <w:numFmt w:val="bullet"/>
      <w:lvlText w:val=""/>
      <w:lvlJc w:val="left"/>
      <w:pPr>
        <w:ind w:left="1942" w:hanging="360"/>
      </w:pPr>
      <w:rPr>
        <w:rFonts w:ascii="Wingdings" w:hAnsi="Wingdings" w:hint="default"/>
      </w:rPr>
    </w:lvl>
    <w:lvl w:ilvl="3" w:tplc="697C3E72">
      <w:start w:val="1"/>
      <w:numFmt w:val="bullet"/>
      <w:lvlText w:val=""/>
      <w:lvlJc w:val="left"/>
      <w:pPr>
        <w:ind w:left="2662" w:hanging="360"/>
      </w:pPr>
      <w:rPr>
        <w:rFonts w:ascii="Symbol" w:hAnsi="Symbol" w:hint="default"/>
      </w:rPr>
    </w:lvl>
    <w:lvl w:ilvl="4" w:tplc="ED7C5BB6">
      <w:start w:val="1"/>
      <w:numFmt w:val="bullet"/>
      <w:lvlText w:val="o"/>
      <w:lvlJc w:val="left"/>
      <w:pPr>
        <w:ind w:left="3382" w:hanging="360"/>
      </w:pPr>
      <w:rPr>
        <w:rFonts w:ascii="Courier New" w:hAnsi="Courier New" w:cs="Courier New" w:hint="default"/>
      </w:rPr>
    </w:lvl>
    <w:lvl w:ilvl="5" w:tplc="D6C6157E">
      <w:start w:val="1"/>
      <w:numFmt w:val="bullet"/>
      <w:lvlText w:val=""/>
      <w:lvlJc w:val="left"/>
      <w:pPr>
        <w:ind w:left="4102" w:hanging="360"/>
      </w:pPr>
      <w:rPr>
        <w:rFonts w:ascii="Wingdings" w:hAnsi="Wingdings" w:hint="default"/>
      </w:rPr>
    </w:lvl>
    <w:lvl w:ilvl="6" w:tplc="E86AD9B8">
      <w:start w:val="1"/>
      <w:numFmt w:val="bullet"/>
      <w:lvlText w:val=""/>
      <w:lvlJc w:val="left"/>
      <w:pPr>
        <w:ind w:left="4822" w:hanging="360"/>
      </w:pPr>
      <w:rPr>
        <w:rFonts w:ascii="Symbol" w:hAnsi="Symbol" w:hint="default"/>
      </w:rPr>
    </w:lvl>
    <w:lvl w:ilvl="7" w:tplc="20E420A4">
      <w:start w:val="1"/>
      <w:numFmt w:val="bullet"/>
      <w:lvlText w:val="o"/>
      <w:lvlJc w:val="left"/>
      <w:pPr>
        <w:ind w:left="5542" w:hanging="360"/>
      </w:pPr>
      <w:rPr>
        <w:rFonts w:ascii="Courier New" w:hAnsi="Courier New" w:cs="Courier New" w:hint="default"/>
      </w:rPr>
    </w:lvl>
    <w:lvl w:ilvl="8" w:tplc="8F7060E8">
      <w:start w:val="1"/>
      <w:numFmt w:val="bullet"/>
      <w:lvlText w:val=""/>
      <w:lvlJc w:val="left"/>
      <w:pPr>
        <w:ind w:left="6262" w:hanging="360"/>
      </w:pPr>
      <w:rPr>
        <w:rFonts w:ascii="Wingdings" w:hAnsi="Wingdings" w:hint="default"/>
      </w:rPr>
    </w:lvl>
  </w:abstractNum>
  <w:abstractNum w:abstractNumId="3" w15:restartNumberingAfterBreak="0">
    <w:nsid w:val="2FEE7AFA"/>
    <w:multiLevelType w:val="hybridMultilevel"/>
    <w:tmpl w:val="4300B41A"/>
    <w:lvl w:ilvl="0" w:tplc="C902FE16">
      <w:start w:val="1"/>
      <w:numFmt w:val="bullet"/>
      <w:lvlText w:val="-"/>
      <w:lvlJc w:val="left"/>
      <w:pPr>
        <w:ind w:left="502" w:hanging="360"/>
      </w:pPr>
      <w:rPr>
        <w:rFonts w:ascii="Calibri" w:eastAsia="Times New Roman" w:hAnsi="Calibri" w:cs="Calibri" w:hint="default"/>
      </w:rPr>
    </w:lvl>
    <w:lvl w:ilvl="1" w:tplc="51B0331A">
      <w:start w:val="1"/>
      <w:numFmt w:val="bullet"/>
      <w:lvlText w:val="o"/>
      <w:lvlJc w:val="left"/>
      <w:pPr>
        <w:ind w:left="1222" w:hanging="360"/>
      </w:pPr>
      <w:rPr>
        <w:rFonts w:ascii="Courier New" w:hAnsi="Courier New" w:cs="Courier New" w:hint="default"/>
      </w:rPr>
    </w:lvl>
    <w:lvl w:ilvl="2" w:tplc="C35A00D6">
      <w:start w:val="1"/>
      <w:numFmt w:val="bullet"/>
      <w:lvlText w:val=""/>
      <w:lvlJc w:val="left"/>
      <w:pPr>
        <w:ind w:left="1942" w:hanging="360"/>
      </w:pPr>
      <w:rPr>
        <w:rFonts w:ascii="Wingdings" w:hAnsi="Wingdings" w:hint="default"/>
      </w:rPr>
    </w:lvl>
    <w:lvl w:ilvl="3" w:tplc="4FF2884C">
      <w:start w:val="1"/>
      <w:numFmt w:val="bullet"/>
      <w:lvlText w:val=""/>
      <w:lvlJc w:val="left"/>
      <w:pPr>
        <w:ind w:left="2662" w:hanging="360"/>
      </w:pPr>
      <w:rPr>
        <w:rFonts w:ascii="Symbol" w:hAnsi="Symbol" w:hint="default"/>
      </w:rPr>
    </w:lvl>
    <w:lvl w:ilvl="4" w:tplc="545A71D2">
      <w:start w:val="1"/>
      <w:numFmt w:val="bullet"/>
      <w:lvlText w:val="o"/>
      <w:lvlJc w:val="left"/>
      <w:pPr>
        <w:ind w:left="3382" w:hanging="360"/>
      </w:pPr>
      <w:rPr>
        <w:rFonts w:ascii="Courier New" w:hAnsi="Courier New" w:cs="Courier New" w:hint="default"/>
      </w:rPr>
    </w:lvl>
    <w:lvl w:ilvl="5" w:tplc="1326FE64">
      <w:start w:val="1"/>
      <w:numFmt w:val="bullet"/>
      <w:lvlText w:val=""/>
      <w:lvlJc w:val="left"/>
      <w:pPr>
        <w:ind w:left="4102" w:hanging="360"/>
      </w:pPr>
      <w:rPr>
        <w:rFonts w:ascii="Wingdings" w:hAnsi="Wingdings" w:hint="default"/>
      </w:rPr>
    </w:lvl>
    <w:lvl w:ilvl="6" w:tplc="E6D62E6C">
      <w:start w:val="1"/>
      <w:numFmt w:val="bullet"/>
      <w:lvlText w:val=""/>
      <w:lvlJc w:val="left"/>
      <w:pPr>
        <w:ind w:left="4822" w:hanging="360"/>
      </w:pPr>
      <w:rPr>
        <w:rFonts w:ascii="Symbol" w:hAnsi="Symbol" w:hint="default"/>
      </w:rPr>
    </w:lvl>
    <w:lvl w:ilvl="7" w:tplc="49BABFD8">
      <w:start w:val="1"/>
      <w:numFmt w:val="bullet"/>
      <w:lvlText w:val="o"/>
      <w:lvlJc w:val="left"/>
      <w:pPr>
        <w:ind w:left="5542" w:hanging="360"/>
      </w:pPr>
      <w:rPr>
        <w:rFonts w:ascii="Courier New" w:hAnsi="Courier New" w:cs="Courier New" w:hint="default"/>
      </w:rPr>
    </w:lvl>
    <w:lvl w:ilvl="8" w:tplc="6FBC0208">
      <w:start w:val="1"/>
      <w:numFmt w:val="bullet"/>
      <w:lvlText w:val=""/>
      <w:lvlJc w:val="left"/>
      <w:pPr>
        <w:ind w:left="6262" w:hanging="360"/>
      </w:pPr>
      <w:rPr>
        <w:rFonts w:ascii="Wingdings" w:hAnsi="Wingdings" w:hint="default"/>
      </w:rPr>
    </w:lvl>
  </w:abstractNum>
  <w:abstractNum w:abstractNumId="4" w15:restartNumberingAfterBreak="0">
    <w:nsid w:val="324C4E08"/>
    <w:multiLevelType w:val="hybridMultilevel"/>
    <w:tmpl w:val="B734E9D8"/>
    <w:styleLink w:val="LFO1"/>
    <w:lvl w:ilvl="0" w:tplc="B838F272">
      <w:start w:val="1"/>
      <w:numFmt w:val="bullet"/>
      <w:pStyle w:val="PucesAO"/>
      <w:lvlText w:val=""/>
      <w:lvlJc w:val="left"/>
      <w:pPr>
        <w:ind w:left="720" w:hanging="360"/>
      </w:pPr>
      <w:rPr>
        <w:rFonts w:ascii="Wingdings" w:hAnsi="Wingdings"/>
      </w:rPr>
    </w:lvl>
    <w:lvl w:ilvl="1" w:tplc="C53E7EBC">
      <w:start w:val="1"/>
      <w:numFmt w:val="bullet"/>
      <w:lvlText w:val="o"/>
      <w:lvlJc w:val="left"/>
      <w:pPr>
        <w:ind w:left="1440" w:hanging="360"/>
      </w:pPr>
      <w:rPr>
        <w:rFonts w:ascii="Courier New" w:hAnsi="Courier New" w:cs="Courier New"/>
      </w:rPr>
    </w:lvl>
    <w:lvl w:ilvl="2" w:tplc="939A2056">
      <w:start w:val="1"/>
      <w:numFmt w:val="bullet"/>
      <w:lvlText w:val=""/>
      <w:lvlJc w:val="left"/>
      <w:pPr>
        <w:ind w:left="2160" w:hanging="360"/>
      </w:pPr>
      <w:rPr>
        <w:rFonts w:ascii="Wingdings" w:hAnsi="Wingdings"/>
      </w:rPr>
    </w:lvl>
    <w:lvl w:ilvl="3" w:tplc="C30E66B6">
      <w:start w:val="1"/>
      <w:numFmt w:val="bullet"/>
      <w:lvlText w:val=""/>
      <w:lvlJc w:val="left"/>
      <w:pPr>
        <w:ind w:left="2880" w:hanging="360"/>
      </w:pPr>
      <w:rPr>
        <w:rFonts w:ascii="Symbol" w:hAnsi="Symbol"/>
      </w:rPr>
    </w:lvl>
    <w:lvl w:ilvl="4" w:tplc="BA18D6FE">
      <w:start w:val="1"/>
      <w:numFmt w:val="bullet"/>
      <w:lvlText w:val="o"/>
      <w:lvlJc w:val="left"/>
      <w:pPr>
        <w:ind w:left="3600" w:hanging="360"/>
      </w:pPr>
      <w:rPr>
        <w:rFonts w:ascii="Courier New" w:hAnsi="Courier New" w:cs="Courier New"/>
      </w:rPr>
    </w:lvl>
    <w:lvl w:ilvl="5" w:tplc="854408FC">
      <w:start w:val="1"/>
      <w:numFmt w:val="bullet"/>
      <w:lvlText w:val=""/>
      <w:lvlJc w:val="left"/>
      <w:pPr>
        <w:ind w:left="4320" w:hanging="360"/>
      </w:pPr>
      <w:rPr>
        <w:rFonts w:ascii="Wingdings" w:hAnsi="Wingdings"/>
      </w:rPr>
    </w:lvl>
    <w:lvl w:ilvl="6" w:tplc="16A8690A">
      <w:start w:val="1"/>
      <w:numFmt w:val="bullet"/>
      <w:lvlText w:val=""/>
      <w:lvlJc w:val="left"/>
      <w:pPr>
        <w:ind w:left="5040" w:hanging="360"/>
      </w:pPr>
      <w:rPr>
        <w:rFonts w:ascii="Symbol" w:hAnsi="Symbol"/>
      </w:rPr>
    </w:lvl>
    <w:lvl w:ilvl="7" w:tplc="0F08271E">
      <w:start w:val="1"/>
      <w:numFmt w:val="bullet"/>
      <w:lvlText w:val="o"/>
      <w:lvlJc w:val="left"/>
      <w:pPr>
        <w:ind w:left="5760" w:hanging="360"/>
      </w:pPr>
      <w:rPr>
        <w:rFonts w:ascii="Courier New" w:hAnsi="Courier New" w:cs="Courier New"/>
      </w:rPr>
    </w:lvl>
    <w:lvl w:ilvl="8" w:tplc="2B9C4494">
      <w:start w:val="1"/>
      <w:numFmt w:val="bullet"/>
      <w:lvlText w:val=""/>
      <w:lvlJc w:val="left"/>
      <w:pPr>
        <w:ind w:left="6480" w:hanging="360"/>
      </w:pPr>
      <w:rPr>
        <w:rFonts w:ascii="Wingdings" w:hAnsi="Wingdings"/>
      </w:rPr>
    </w:lvl>
  </w:abstractNum>
  <w:abstractNum w:abstractNumId="5" w15:restartNumberingAfterBreak="0">
    <w:nsid w:val="545F0FDC"/>
    <w:multiLevelType w:val="hybridMultilevel"/>
    <w:tmpl w:val="4B34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03"/>
    <w:rsid w:val="003120F0"/>
    <w:rsid w:val="00457158"/>
    <w:rsid w:val="00571A95"/>
    <w:rsid w:val="007B1003"/>
    <w:rsid w:val="00837FBB"/>
    <w:rsid w:val="00AE49A8"/>
    <w:rsid w:val="00C71185"/>
    <w:rsid w:val="00D25C1E"/>
    <w:rsid w:val="00F0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3557"/>
  <w15:docId w15:val="{7C6F639A-EE18-4300-942B-0BE661B8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after="120"/>
      <w:jc w:val="both"/>
    </w:pPr>
    <w:rPr>
      <w:rFonts w:ascii="Times New Roman" w:hAnsi="Times New Roman"/>
      <w:sz w:val="24"/>
      <w:szCs w:val="24"/>
      <w:lang w:eastAsia="en-US"/>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pPr>
      <w:spacing w:after="0"/>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1">
    <w:name w:val="Pied de page Car1"/>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Standard">
    <w:name w:val="Standard"/>
  </w:style>
  <w:style w:type="paragraph" w:customStyle="1" w:styleId="RdigerAO">
    <w:name w:val="Rédiger AO"/>
    <w:pPr>
      <w:spacing w:before="120" w:after="120" w:line="276" w:lineRule="auto"/>
      <w:ind w:left="680"/>
      <w:jc w:val="both"/>
    </w:pPr>
    <w:rPr>
      <w:rFonts w:ascii="Times New Roman" w:hAnsi="Times New Roman"/>
      <w:sz w:val="24"/>
      <w:szCs w:val="24"/>
      <w:lang w:eastAsia="en-US"/>
    </w:rPr>
  </w:style>
  <w:style w:type="paragraph" w:customStyle="1" w:styleId="RsumerAO">
    <w:name w:val="Résumer AO"/>
    <w:pPr>
      <w:spacing w:before="120" w:after="120" w:line="276" w:lineRule="auto"/>
      <w:ind w:left="680"/>
      <w:jc w:val="both"/>
    </w:pPr>
    <w:rPr>
      <w:rFonts w:ascii="Times New Roman" w:hAnsi="Times New Roman"/>
      <w:sz w:val="24"/>
      <w:szCs w:val="24"/>
      <w:lang w:eastAsia="en-US"/>
    </w:rPr>
  </w:style>
  <w:style w:type="paragraph" w:styleId="Paragraphedeliste">
    <w:name w:val="List Paragraph"/>
    <w:basedOn w:val="Normal"/>
    <w:pPr>
      <w:spacing w:before="0" w:after="0"/>
      <w:ind w:left="720"/>
    </w:pPr>
  </w:style>
  <w:style w:type="paragraph" w:customStyle="1" w:styleId="PucesAO">
    <w:name w:val="Puces AO"/>
    <w:pPr>
      <w:numPr>
        <w:numId w:val="1"/>
      </w:numPr>
      <w:spacing w:before="120" w:after="120" w:line="276" w:lineRule="auto"/>
      <w:jc w:val="both"/>
    </w:pPr>
    <w:rPr>
      <w:rFonts w:ascii="Times New Roman" w:hAnsi="Times New Roman"/>
      <w:sz w:val="24"/>
      <w:szCs w:val="24"/>
      <w:lang w:eastAsia="en-US"/>
    </w:rPr>
  </w:style>
  <w:style w:type="paragraph" w:styleId="NormalWeb">
    <w:name w:val="Normal (Web)"/>
    <w:basedOn w:val="Normal"/>
    <w:uiPriority w:val="99"/>
    <w:pPr>
      <w:spacing w:before="100" w:after="100"/>
      <w:jc w:val="left"/>
    </w:pPr>
    <w:rPr>
      <w:rFonts w:eastAsia="Times New Roman"/>
      <w:lang w:eastAsia="fr-FR"/>
    </w:rPr>
  </w:style>
  <w:style w:type="paragraph" w:customStyle="1" w:styleId="TableauAO">
    <w:name w:val="Tableau AO"/>
    <w:basedOn w:val="Textbody"/>
    <w:pPr>
      <w:spacing w:before="60" w:after="60"/>
      <w:jc w:val="left"/>
    </w:pPr>
    <w:rPr>
      <w:sz w:val="20"/>
    </w:rPr>
  </w:style>
  <w:style w:type="paragraph" w:customStyle="1" w:styleId="Textbody">
    <w:name w:val="Text body"/>
    <w:basedOn w:val="Normal"/>
  </w:style>
  <w:style w:type="paragraph" w:customStyle="1" w:styleId="DcisionVuAO">
    <w:name w:val="Décision Vu AO"/>
    <w:pPr>
      <w:spacing w:before="120" w:after="120" w:line="276" w:lineRule="auto"/>
      <w:ind w:left="2126"/>
      <w:jc w:val="both"/>
    </w:pPr>
    <w:rPr>
      <w:rFonts w:ascii="Times New Roman" w:hAnsi="Times New Roman"/>
      <w:sz w:val="24"/>
      <w:szCs w:val="24"/>
      <w:lang w:eastAsia="en-US"/>
    </w:rPr>
  </w:style>
  <w:style w:type="paragraph" w:customStyle="1" w:styleId="DcisionAO">
    <w:name w:val="Décision AO"/>
    <w:pPr>
      <w:spacing w:before="120" w:after="120" w:line="276" w:lineRule="auto"/>
      <w:ind w:left="680"/>
      <w:jc w:val="both"/>
    </w:pPr>
    <w:rPr>
      <w:rFonts w:ascii="Times New Roman" w:hAnsi="Times New Roman"/>
      <w:sz w:val="24"/>
      <w:szCs w:val="24"/>
      <w:lang w:eastAsia="en-US"/>
    </w:rPr>
  </w:style>
  <w:style w:type="paragraph" w:styleId="Textedebulles">
    <w:name w:val="Balloon Text"/>
    <w:basedOn w:val="Normal"/>
    <w:pPr>
      <w:spacing w:before="0" w:after="0"/>
    </w:pPr>
    <w:rPr>
      <w:rFonts w:ascii="Tahoma" w:hAnsi="Tahoma" w:cs="Tahoma"/>
      <w:sz w:val="16"/>
      <w:szCs w:val="16"/>
    </w:rPr>
  </w:style>
  <w:style w:type="paragraph" w:styleId="En-tte">
    <w:name w:val="header"/>
    <w:basedOn w:val="Normal"/>
    <w:link w:val="En-tteCar1"/>
    <w:pPr>
      <w:tabs>
        <w:tab w:val="center" w:pos="4536"/>
        <w:tab w:val="right" w:pos="9072"/>
      </w:tabs>
    </w:pPr>
  </w:style>
  <w:style w:type="paragraph" w:styleId="Pieddepage">
    <w:name w:val="footer"/>
    <w:basedOn w:val="Normal"/>
    <w:link w:val="PieddepageCar1"/>
    <w:pPr>
      <w:tabs>
        <w:tab w:val="center" w:pos="4536"/>
        <w:tab w:val="right" w:pos="9072"/>
      </w:tabs>
    </w:pPr>
  </w:style>
  <w:style w:type="character" w:customStyle="1" w:styleId="RdigerAOCar">
    <w:name w:val="Rédiger AO Car"/>
    <w:rPr>
      <w:rFonts w:ascii="Times New Roman" w:hAnsi="Times New Roman"/>
      <w:sz w:val="24"/>
      <w:szCs w:val="24"/>
      <w:lang w:eastAsia="en-US"/>
    </w:rPr>
  </w:style>
  <w:style w:type="character" w:customStyle="1" w:styleId="RsumerAOCar">
    <w:name w:val="Résumer AO Car"/>
    <w:rPr>
      <w:rFonts w:ascii="Times New Roman" w:hAnsi="Times New Roman"/>
      <w:sz w:val="24"/>
      <w:szCs w:val="24"/>
      <w:lang w:eastAsia="en-US"/>
    </w:rPr>
  </w:style>
  <w:style w:type="character" w:customStyle="1" w:styleId="ParagraphedelisteCar">
    <w:name w:val="Paragraphe de liste Car"/>
    <w:basedOn w:val="Policepardfaut"/>
  </w:style>
  <w:style w:type="character" w:customStyle="1" w:styleId="PucesAOCar">
    <w:name w:val="Puces AO Car"/>
    <w:rPr>
      <w:rFonts w:ascii="Times New Roman" w:hAnsi="Times New Roman"/>
      <w:sz w:val="24"/>
      <w:szCs w:val="24"/>
      <w:lang w:eastAsia="en-US"/>
    </w:rPr>
  </w:style>
  <w:style w:type="character" w:customStyle="1" w:styleId="keyword">
    <w:name w:val="keyword"/>
  </w:style>
  <w:style w:type="character" w:customStyle="1" w:styleId="CorpsdetexteCar">
    <w:name w:val="Corps de texte Car"/>
    <w:rPr>
      <w:rFonts w:ascii="Times New Roman" w:hAnsi="Times New Roman"/>
      <w:sz w:val="24"/>
      <w:szCs w:val="24"/>
      <w:lang w:eastAsia="en-US"/>
    </w:rPr>
  </w:style>
  <w:style w:type="character" w:customStyle="1" w:styleId="TableauAOCar">
    <w:name w:val="Tableau AO Car"/>
    <w:rPr>
      <w:rFonts w:ascii="Times New Roman" w:hAnsi="Times New Roman"/>
      <w:sz w:val="24"/>
      <w:szCs w:val="24"/>
      <w:lang w:eastAsia="en-US"/>
    </w:rPr>
  </w:style>
  <w:style w:type="character" w:customStyle="1" w:styleId="DcisionVuAOCar">
    <w:name w:val="Décision Vu AO Car"/>
    <w:rPr>
      <w:rFonts w:ascii="Times New Roman" w:hAnsi="Times New Roman"/>
      <w:sz w:val="24"/>
      <w:szCs w:val="24"/>
      <w:lang w:eastAsia="en-US"/>
    </w:rPr>
  </w:style>
  <w:style w:type="character" w:customStyle="1" w:styleId="DcisionAOCar">
    <w:name w:val="Décision AO Car"/>
    <w:rPr>
      <w:rFonts w:ascii="Times New Roman" w:hAnsi="Times New Roman"/>
      <w:sz w:val="24"/>
      <w:szCs w:val="24"/>
      <w:lang w:eastAsia="en-US"/>
    </w:rPr>
  </w:style>
  <w:style w:type="character" w:customStyle="1" w:styleId="TextedebullesCar">
    <w:name w:val="Texte de bulles Car"/>
    <w:rPr>
      <w:rFonts w:ascii="Tahoma" w:hAnsi="Tahoma" w:cs="Tahoma"/>
      <w:sz w:val="16"/>
      <w:szCs w:val="16"/>
      <w:lang w:eastAsia="en-US"/>
    </w:rPr>
  </w:style>
  <w:style w:type="character" w:customStyle="1" w:styleId="En-tteCar">
    <w:name w:val="En-tête Car"/>
    <w:rPr>
      <w:rFonts w:ascii="Times New Roman" w:hAnsi="Times New Roman"/>
      <w:sz w:val="24"/>
      <w:szCs w:val="24"/>
      <w:lang w:eastAsia="en-US"/>
    </w:rPr>
  </w:style>
  <w:style w:type="character" w:customStyle="1" w:styleId="PieddepageCar">
    <w:name w:val="Pied de page Car"/>
    <w:rPr>
      <w:rFonts w:ascii="Times New Roman" w:hAnsi="Times New Roman"/>
      <w:sz w:val="24"/>
      <w:szCs w:val="24"/>
      <w:lang w:eastAsia="en-US"/>
    </w:rPr>
  </w:style>
  <w:style w:type="numbering" w:customStyle="1" w:styleId="LFO1">
    <w:name w:val="LFO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4231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Chateauroux Metropole</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DESBOIS Anais</dc:creator>
  <cp:lastModifiedBy>Philippe SERRE</cp:lastModifiedBy>
  <cp:revision>3</cp:revision>
  <dcterms:created xsi:type="dcterms:W3CDTF">2021-05-10T09:40:00Z</dcterms:created>
  <dcterms:modified xsi:type="dcterms:W3CDTF">2021-05-10T13:51:00Z</dcterms:modified>
</cp:coreProperties>
</file>