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F3E30" w14:textId="71B7B6C4" w:rsidR="001B1A37" w:rsidRPr="00246C1F" w:rsidRDefault="001B1A37" w:rsidP="001B1A37">
      <w:pPr>
        <w:pBdr>
          <w:top w:val="nil"/>
          <w:left w:val="nil"/>
          <w:bottom w:val="nil"/>
          <w:right w:val="nil"/>
          <w:between w:val="nil"/>
        </w:pBdr>
        <w:spacing w:line="264" w:lineRule="auto"/>
        <w:jc w:val="center"/>
        <w:rPr>
          <w:color w:val="000000"/>
          <w:sz w:val="28"/>
          <w:szCs w:val="28"/>
          <w:lang w:val="fr-FR"/>
        </w:rPr>
      </w:pPr>
      <w:r w:rsidRPr="001B1A37">
        <w:rPr>
          <w:color w:val="000000"/>
          <w:sz w:val="28"/>
          <w:szCs w:val="28"/>
          <w:lang w:val="fr-FR"/>
        </w:rPr>
        <w:t xml:space="preserve">Les soins médicaux de transition des </w:t>
      </w:r>
      <w:proofErr w:type="spellStart"/>
      <w:r w:rsidRPr="001B1A37">
        <w:rPr>
          <w:color w:val="000000"/>
          <w:sz w:val="28"/>
          <w:szCs w:val="28"/>
          <w:lang w:val="fr-FR"/>
        </w:rPr>
        <w:t>mineur·es</w:t>
      </w:r>
      <w:proofErr w:type="spellEnd"/>
      <w:r w:rsidRPr="001B1A37">
        <w:rPr>
          <w:color w:val="000000"/>
          <w:sz w:val="28"/>
          <w:szCs w:val="28"/>
          <w:lang w:val="fr-FR"/>
        </w:rPr>
        <w:t xml:space="preserve"> transgenres</w:t>
      </w:r>
      <w:r w:rsidRPr="00246C1F">
        <w:rPr>
          <w:rStyle w:val="Appelnotedebasdep"/>
          <w:color w:val="000000"/>
          <w:sz w:val="28"/>
          <w:szCs w:val="28"/>
          <w:lang w:val="fr-FR"/>
        </w:rPr>
        <w:footnoteReference w:id="1"/>
      </w:r>
    </w:p>
    <w:p w14:paraId="22BD52A0" w14:textId="77777777" w:rsidR="00246C1F" w:rsidRDefault="00246C1F" w:rsidP="001B1A37">
      <w:pPr>
        <w:pBdr>
          <w:top w:val="nil"/>
          <w:left w:val="nil"/>
          <w:bottom w:val="nil"/>
          <w:right w:val="nil"/>
          <w:between w:val="nil"/>
        </w:pBdr>
        <w:spacing w:line="264" w:lineRule="auto"/>
        <w:jc w:val="center"/>
        <w:rPr>
          <w:color w:val="000000"/>
          <w:lang w:val="fr-FR"/>
        </w:rPr>
      </w:pPr>
    </w:p>
    <w:p w14:paraId="7B3CFE7F" w14:textId="271089B6" w:rsidR="001B1A37" w:rsidRDefault="00246C1F" w:rsidP="001B1A37">
      <w:pPr>
        <w:pBdr>
          <w:top w:val="nil"/>
          <w:left w:val="nil"/>
          <w:bottom w:val="nil"/>
          <w:right w:val="nil"/>
          <w:between w:val="nil"/>
        </w:pBdr>
        <w:spacing w:line="264" w:lineRule="auto"/>
        <w:jc w:val="center"/>
        <w:rPr>
          <w:color w:val="000000"/>
          <w:lang w:val="fr-FR"/>
        </w:rPr>
      </w:pPr>
      <w:r>
        <w:rPr>
          <w:color w:val="000000"/>
          <w:lang w:val="fr-FR"/>
        </w:rPr>
        <w:t>Colloque organisée à l’</w:t>
      </w:r>
      <w:r w:rsidR="001B1A37">
        <w:rPr>
          <w:color w:val="000000"/>
          <w:lang w:val="fr-FR"/>
        </w:rPr>
        <w:t>Université Lumière Lyon 2 – 21 nov. 2025</w:t>
      </w:r>
    </w:p>
    <w:p w14:paraId="4081B940" w14:textId="51735E25" w:rsidR="00246C1F" w:rsidRDefault="00246C1F" w:rsidP="001B1A37">
      <w:pPr>
        <w:pBdr>
          <w:top w:val="nil"/>
          <w:left w:val="nil"/>
          <w:bottom w:val="nil"/>
          <w:right w:val="nil"/>
          <w:between w:val="nil"/>
        </w:pBdr>
        <w:spacing w:line="264" w:lineRule="auto"/>
        <w:jc w:val="center"/>
        <w:rPr>
          <w:color w:val="000000"/>
          <w:lang w:val="fr-FR"/>
        </w:rPr>
      </w:pPr>
      <w:r>
        <w:rPr>
          <w:color w:val="000000"/>
          <w:lang w:val="fr-FR"/>
        </w:rPr>
        <w:t>Par Pierre Michel et Benjamin Moron-Puech</w:t>
      </w:r>
    </w:p>
    <w:p w14:paraId="2847C796" w14:textId="77777777" w:rsidR="00246C1F" w:rsidRDefault="00246C1F" w:rsidP="001B1A37">
      <w:pPr>
        <w:pBdr>
          <w:top w:val="nil"/>
          <w:left w:val="nil"/>
          <w:bottom w:val="nil"/>
          <w:right w:val="nil"/>
          <w:between w:val="nil"/>
        </w:pBdr>
        <w:spacing w:line="264" w:lineRule="auto"/>
        <w:jc w:val="center"/>
        <w:rPr>
          <w:color w:val="000000"/>
          <w:lang w:val="fr-FR"/>
        </w:rPr>
      </w:pPr>
    </w:p>
    <w:p w14:paraId="5F99E1C6" w14:textId="541798A5" w:rsidR="00246C1F" w:rsidRPr="001B1A37" w:rsidRDefault="00246C1F" w:rsidP="001B1A37">
      <w:pPr>
        <w:pBdr>
          <w:top w:val="nil"/>
          <w:left w:val="nil"/>
          <w:bottom w:val="nil"/>
          <w:right w:val="nil"/>
          <w:between w:val="nil"/>
        </w:pBdr>
        <w:spacing w:line="264" w:lineRule="auto"/>
        <w:jc w:val="center"/>
        <w:rPr>
          <w:color w:val="000000"/>
          <w:lang w:val="fr-FR"/>
        </w:rPr>
      </w:pPr>
      <w:r>
        <w:rPr>
          <w:color w:val="000000"/>
          <w:lang w:val="fr-FR"/>
        </w:rPr>
        <w:t>Avec le soutien des laboratoires Transversales, CERCRID, de la faculté de droit Julie-Victoire Daubié et du pôle de spécialité genre de l’université Lumière Lyon 2</w:t>
      </w:r>
    </w:p>
    <w:p w14:paraId="1709431B" w14:textId="77777777" w:rsidR="001B1A37" w:rsidRDefault="001B1A37" w:rsidP="001B1A37">
      <w:pPr>
        <w:pBdr>
          <w:top w:val="nil"/>
          <w:left w:val="nil"/>
          <w:bottom w:val="nil"/>
          <w:right w:val="nil"/>
          <w:between w:val="nil"/>
        </w:pBdr>
        <w:spacing w:after="120" w:line="264" w:lineRule="auto"/>
        <w:jc w:val="center"/>
        <w:rPr>
          <w:color w:val="000000"/>
        </w:rPr>
      </w:pPr>
    </w:p>
    <w:p w14:paraId="18F41ACF" w14:textId="77777777" w:rsidR="001B1A37" w:rsidRPr="00246C1F" w:rsidRDefault="001B1A37" w:rsidP="001B1A37">
      <w:pPr>
        <w:pBdr>
          <w:top w:val="nil"/>
          <w:left w:val="nil"/>
          <w:bottom w:val="nil"/>
          <w:right w:val="nil"/>
          <w:between w:val="nil"/>
        </w:pBdr>
        <w:spacing w:after="120" w:line="264" w:lineRule="auto"/>
        <w:jc w:val="center"/>
        <w:rPr>
          <w:color w:val="000000"/>
          <w:sz w:val="28"/>
          <w:szCs w:val="28"/>
        </w:rPr>
      </w:pPr>
      <w:r w:rsidRPr="00246C1F">
        <w:rPr>
          <w:color w:val="000000"/>
          <w:sz w:val="28"/>
          <w:szCs w:val="28"/>
        </w:rPr>
        <w:t xml:space="preserve">Transcription du débat entre </w:t>
      </w:r>
    </w:p>
    <w:p w14:paraId="45495922" w14:textId="717A637D" w:rsidR="001B1A37" w:rsidRPr="00246C1F" w:rsidRDefault="001B1A37" w:rsidP="001B1A37">
      <w:pPr>
        <w:pBdr>
          <w:top w:val="nil"/>
          <w:left w:val="nil"/>
          <w:bottom w:val="nil"/>
          <w:right w:val="nil"/>
          <w:between w:val="nil"/>
        </w:pBdr>
        <w:spacing w:after="120" w:line="264" w:lineRule="auto"/>
        <w:jc w:val="center"/>
        <w:rPr>
          <w:color w:val="000000"/>
          <w:sz w:val="26"/>
          <w:szCs w:val="26"/>
        </w:rPr>
      </w:pPr>
      <w:r w:rsidRPr="00246C1F">
        <w:rPr>
          <w:color w:val="000000"/>
          <w:sz w:val="26"/>
          <w:szCs w:val="26"/>
        </w:rPr>
        <w:t xml:space="preserve">Aude </w:t>
      </w:r>
      <w:proofErr w:type="spellStart"/>
      <w:r w:rsidRPr="00246C1F">
        <w:rPr>
          <w:color w:val="000000"/>
          <w:sz w:val="26"/>
          <w:szCs w:val="26"/>
        </w:rPr>
        <w:t>Mirkovic</w:t>
      </w:r>
      <w:proofErr w:type="spellEnd"/>
      <w:r w:rsidRPr="00246C1F">
        <w:rPr>
          <w:color w:val="000000"/>
          <w:sz w:val="26"/>
          <w:szCs w:val="26"/>
        </w:rPr>
        <w:t xml:space="preserve"> (Université </w:t>
      </w:r>
      <w:r w:rsidR="00246C1F" w:rsidRPr="00246C1F">
        <w:rPr>
          <w:color w:val="000000"/>
          <w:sz w:val="26"/>
          <w:szCs w:val="26"/>
        </w:rPr>
        <w:t>É</w:t>
      </w:r>
      <w:r w:rsidRPr="00246C1F">
        <w:rPr>
          <w:color w:val="000000"/>
          <w:sz w:val="26"/>
          <w:szCs w:val="26"/>
        </w:rPr>
        <w:t>vry Paris-Saclay - Centre de recherche Léon Duguit)</w:t>
      </w:r>
    </w:p>
    <w:p w14:paraId="18B92C33" w14:textId="2D7D91A6" w:rsidR="00694F06" w:rsidRPr="00246C1F" w:rsidRDefault="001B1A37" w:rsidP="001B1A37">
      <w:pPr>
        <w:pBdr>
          <w:top w:val="nil"/>
          <w:left w:val="nil"/>
          <w:bottom w:val="nil"/>
          <w:right w:val="nil"/>
          <w:between w:val="nil"/>
        </w:pBdr>
        <w:spacing w:after="120" w:line="264" w:lineRule="auto"/>
        <w:jc w:val="center"/>
        <w:rPr>
          <w:color w:val="000000"/>
          <w:sz w:val="26"/>
          <w:szCs w:val="26"/>
        </w:rPr>
      </w:pPr>
      <w:r w:rsidRPr="00246C1F">
        <w:rPr>
          <w:color w:val="000000"/>
          <w:sz w:val="26"/>
          <w:szCs w:val="26"/>
        </w:rPr>
        <w:t xml:space="preserve"> </w:t>
      </w:r>
      <w:proofErr w:type="gramStart"/>
      <w:r w:rsidRPr="00246C1F">
        <w:rPr>
          <w:color w:val="000000"/>
          <w:sz w:val="26"/>
          <w:szCs w:val="26"/>
        </w:rPr>
        <w:t>et</w:t>
      </w:r>
      <w:proofErr w:type="gramEnd"/>
      <w:r w:rsidRPr="00246C1F">
        <w:rPr>
          <w:color w:val="000000"/>
          <w:sz w:val="26"/>
          <w:szCs w:val="26"/>
        </w:rPr>
        <w:t> Benjamin Moron-Puech (Université Lumière Lyon 2 – CERCRID)</w:t>
      </w:r>
    </w:p>
    <w:p w14:paraId="0DC88060" w14:textId="77777777" w:rsidR="001B1A37" w:rsidRPr="00246C1F" w:rsidRDefault="001B1A37" w:rsidP="001B1A37">
      <w:pPr>
        <w:pBdr>
          <w:top w:val="nil"/>
          <w:left w:val="nil"/>
          <w:bottom w:val="nil"/>
          <w:right w:val="nil"/>
          <w:between w:val="nil"/>
        </w:pBdr>
        <w:spacing w:after="120" w:line="264" w:lineRule="auto"/>
        <w:jc w:val="center"/>
        <w:rPr>
          <w:color w:val="000000"/>
          <w:sz w:val="28"/>
          <w:szCs w:val="28"/>
        </w:rPr>
      </w:pPr>
    </w:p>
    <w:p w14:paraId="2972A928" w14:textId="29A0BC0A" w:rsidR="001B1A37" w:rsidRPr="00246C1F" w:rsidRDefault="00246C1F" w:rsidP="001B1A37">
      <w:pPr>
        <w:pBdr>
          <w:top w:val="nil"/>
          <w:left w:val="nil"/>
          <w:bottom w:val="nil"/>
          <w:right w:val="nil"/>
          <w:between w:val="nil"/>
        </w:pBdr>
        <w:spacing w:after="120" w:line="264" w:lineRule="auto"/>
        <w:jc w:val="center"/>
        <w:rPr>
          <w:color w:val="000000"/>
          <w:sz w:val="26"/>
          <w:szCs w:val="26"/>
        </w:rPr>
      </w:pPr>
      <w:r>
        <w:rPr>
          <w:color w:val="000000"/>
          <w:sz w:val="26"/>
          <w:szCs w:val="26"/>
        </w:rPr>
        <w:t>Présidence du débat</w:t>
      </w:r>
      <w:r w:rsidR="001B1A37" w:rsidRPr="00246C1F">
        <w:rPr>
          <w:color w:val="000000"/>
          <w:sz w:val="26"/>
          <w:szCs w:val="26"/>
        </w:rPr>
        <w:t xml:space="preserve"> par Laurence </w:t>
      </w:r>
      <w:proofErr w:type="spellStart"/>
      <w:r w:rsidR="001B1A37" w:rsidRPr="00246C1F">
        <w:rPr>
          <w:color w:val="000000"/>
          <w:sz w:val="26"/>
          <w:szCs w:val="26"/>
        </w:rPr>
        <w:t>Francoz</w:t>
      </w:r>
      <w:proofErr w:type="spellEnd"/>
      <w:r w:rsidR="001B1A37" w:rsidRPr="00246C1F">
        <w:rPr>
          <w:color w:val="000000"/>
          <w:sz w:val="26"/>
          <w:szCs w:val="26"/>
        </w:rPr>
        <w:t xml:space="preserve"> Terminal</w:t>
      </w:r>
      <w:r>
        <w:rPr>
          <w:color w:val="000000"/>
          <w:sz w:val="26"/>
          <w:szCs w:val="26"/>
        </w:rPr>
        <w:t xml:space="preserve"> (Université Jean-Moulin Lyon 3)</w:t>
      </w:r>
    </w:p>
    <w:p w14:paraId="516414E7" w14:textId="77777777" w:rsidR="001B1A37" w:rsidRPr="00246C1F" w:rsidRDefault="001B1A37" w:rsidP="001B1A37">
      <w:pPr>
        <w:pBdr>
          <w:top w:val="nil"/>
          <w:left w:val="nil"/>
          <w:bottom w:val="nil"/>
          <w:right w:val="nil"/>
          <w:between w:val="nil"/>
        </w:pBdr>
        <w:spacing w:after="120" w:line="264" w:lineRule="auto"/>
        <w:jc w:val="center"/>
        <w:rPr>
          <w:color w:val="000000"/>
          <w:sz w:val="26"/>
          <w:szCs w:val="26"/>
        </w:rPr>
      </w:pPr>
    </w:p>
    <w:p w14:paraId="39C669B3" w14:textId="4B0B8062" w:rsidR="001B1A37" w:rsidRPr="00246C1F" w:rsidRDefault="001B1A37" w:rsidP="001B1A37">
      <w:pPr>
        <w:pBdr>
          <w:top w:val="nil"/>
          <w:left w:val="nil"/>
          <w:bottom w:val="nil"/>
          <w:right w:val="nil"/>
          <w:between w:val="nil"/>
        </w:pBdr>
        <w:spacing w:after="120" w:line="264" w:lineRule="auto"/>
        <w:jc w:val="center"/>
        <w:rPr>
          <w:color w:val="000000"/>
          <w:sz w:val="26"/>
          <w:szCs w:val="26"/>
        </w:rPr>
      </w:pPr>
      <w:r w:rsidRPr="00246C1F">
        <w:rPr>
          <w:color w:val="000000"/>
          <w:sz w:val="26"/>
          <w:szCs w:val="26"/>
        </w:rPr>
        <w:t xml:space="preserve">Transcription réalisée </w:t>
      </w:r>
      <w:r w:rsidRPr="00072D78">
        <w:rPr>
          <w:color w:val="000000"/>
          <w:sz w:val="26"/>
          <w:szCs w:val="26"/>
        </w:rPr>
        <w:t xml:space="preserve">par </w:t>
      </w:r>
      <w:proofErr w:type="spellStart"/>
      <w:r w:rsidR="00072D78" w:rsidRPr="00072D78">
        <w:rPr>
          <w:sz w:val="26"/>
          <w:szCs w:val="26"/>
        </w:rPr>
        <w:t>Kévine</w:t>
      </w:r>
      <w:proofErr w:type="spellEnd"/>
      <w:r w:rsidR="00072D78" w:rsidRPr="00072D78">
        <w:rPr>
          <w:sz w:val="26"/>
          <w:szCs w:val="26"/>
        </w:rPr>
        <w:t xml:space="preserve"> SENAN AGONNADJAI</w:t>
      </w:r>
    </w:p>
    <w:p w14:paraId="7E6326D3" w14:textId="77777777" w:rsidR="00694F06" w:rsidRPr="00246C1F" w:rsidRDefault="00694F06">
      <w:pPr>
        <w:pBdr>
          <w:top w:val="nil"/>
          <w:left w:val="nil"/>
          <w:bottom w:val="nil"/>
          <w:right w:val="nil"/>
          <w:between w:val="nil"/>
        </w:pBdr>
        <w:spacing w:after="120" w:line="264" w:lineRule="auto"/>
        <w:jc w:val="both"/>
        <w:rPr>
          <w:b/>
          <w:bCs/>
          <w:color w:val="000000"/>
          <w:sz w:val="26"/>
          <w:szCs w:val="26"/>
        </w:rPr>
      </w:pPr>
    </w:p>
    <w:p w14:paraId="29FCD8D8" w14:textId="04244476" w:rsidR="00956703" w:rsidRDefault="00B71856">
      <w:pPr>
        <w:pBdr>
          <w:top w:val="nil"/>
          <w:left w:val="nil"/>
          <w:bottom w:val="nil"/>
          <w:right w:val="nil"/>
          <w:between w:val="nil"/>
        </w:pBdr>
        <w:spacing w:after="120" w:line="264" w:lineRule="auto"/>
        <w:jc w:val="both"/>
        <w:rPr>
          <w:b/>
          <w:bCs/>
          <w:color w:val="000000"/>
        </w:rPr>
      </w:pPr>
      <w:r>
        <w:rPr>
          <w:b/>
          <w:bCs/>
          <w:color w:val="000000"/>
        </w:rPr>
        <w:t xml:space="preserve">Laurence </w:t>
      </w:r>
      <w:proofErr w:type="spellStart"/>
      <w:r>
        <w:rPr>
          <w:b/>
          <w:bCs/>
          <w:color w:val="000000"/>
        </w:rPr>
        <w:t>Francoz</w:t>
      </w:r>
      <w:proofErr w:type="spellEnd"/>
      <w:r w:rsidR="0054423A">
        <w:rPr>
          <w:b/>
          <w:bCs/>
          <w:color w:val="000000"/>
        </w:rPr>
        <w:t xml:space="preserve"> </w:t>
      </w:r>
      <w:r>
        <w:rPr>
          <w:b/>
          <w:bCs/>
          <w:color w:val="000000"/>
        </w:rPr>
        <w:t xml:space="preserve">Terminal : Concernant le </w:t>
      </w:r>
      <w:r w:rsidR="0054423A">
        <w:rPr>
          <w:b/>
          <w:bCs/>
          <w:color w:val="000000"/>
        </w:rPr>
        <w:t>premier</w:t>
      </w:r>
      <w:r>
        <w:rPr>
          <w:b/>
          <w:bCs/>
          <w:color w:val="000000"/>
        </w:rPr>
        <w:t> désaccord, celui portant sur les faits, pourriez-vous expliquez ce qui vous conduit à dire que la prise en charge des personnes mineures dites transgenres n’est pas aujourd’hui satisfaisante en France, que ce soit parce ce que vous la jugez trop libérale ou trop restrictive ?</w:t>
      </w:r>
    </w:p>
    <w:p w14:paraId="29FCD8D9" w14:textId="77777777" w:rsidR="00956703" w:rsidRDefault="00956703">
      <w:pPr>
        <w:pBdr>
          <w:top w:val="nil"/>
          <w:left w:val="nil"/>
          <w:bottom w:val="nil"/>
          <w:right w:val="nil"/>
          <w:between w:val="nil"/>
        </w:pBdr>
        <w:spacing w:after="120" w:line="264" w:lineRule="auto"/>
        <w:jc w:val="both"/>
        <w:rPr>
          <w:b/>
          <w:bCs/>
          <w:color w:val="000000"/>
        </w:rPr>
      </w:pPr>
    </w:p>
    <w:p w14:paraId="29FCD8DA" w14:textId="0A8A2E77" w:rsidR="00956703" w:rsidRDefault="00B71856">
      <w:pPr>
        <w:pBdr>
          <w:top w:val="nil"/>
          <w:left w:val="nil"/>
          <w:bottom w:val="nil"/>
          <w:right w:val="nil"/>
          <w:between w:val="nil"/>
        </w:pBdr>
        <w:spacing w:after="120" w:line="264" w:lineRule="auto"/>
        <w:jc w:val="both"/>
        <w:rPr>
          <w:b/>
          <w:bCs/>
          <w:color w:val="000000"/>
        </w:rPr>
      </w:pPr>
      <w:r>
        <w:rPr>
          <w:b/>
          <w:bCs/>
          <w:color w:val="000000"/>
        </w:rPr>
        <w:t>Aude Mirkovic </w:t>
      </w:r>
      <w:r>
        <w:rPr>
          <w:color w:val="000000"/>
        </w:rPr>
        <w:t xml:space="preserve">: La prise en charge des mineurs en questionnement lié à leur genre </w:t>
      </w:r>
      <w:r w:rsidR="0031678F">
        <w:rPr>
          <w:color w:val="000000"/>
        </w:rPr>
        <w:t>n’</w:t>
      </w:r>
      <w:r>
        <w:rPr>
          <w:color w:val="000000"/>
        </w:rPr>
        <w:t>est</w:t>
      </w:r>
      <w:r w:rsidR="0031678F">
        <w:rPr>
          <w:color w:val="000000"/>
        </w:rPr>
        <w:t xml:space="preserve"> ni restrictive, ni libérale</w:t>
      </w:r>
      <w:r>
        <w:rPr>
          <w:color w:val="000000"/>
        </w:rPr>
        <w:t xml:space="preserve">, </w:t>
      </w:r>
      <w:r w:rsidR="0031678F">
        <w:rPr>
          <w:color w:val="000000"/>
        </w:rPr>
        <w:t xml:space="preserve">elle est </w:t>
      </w:r>
      <w:r>
        <w:rPr>
          <w:color w:val="000000"/>
        </w:rPr>
        <w:t xml:space="preserve">à mon sens inadaptée. </w:t>
      </w:r>
    </w:p>
    <w:p w14:paraId="29FCD8DB" w14:textId="6E818111" w:rsidR="00956703" w:rsidRDefault="00B71856">
      <w:pPr>
        <w:pBdr>
          <w:top w:val="nil"/>
          <w:left w:val="nil"/>
          <w:bottom w:val="nil"/>
          <w:right w:val="nil"/>
          <w:between w:val="nil"/>
        </w:pBdr>
        <w:spacing w:after="120" w:line="264" w:lineRule="auto"/>
        <w:jc w:val="both"/>
        <w:rPr>
          <w:color w:val="000000"/>
        </w:rPr>
      </w:pPr>
      <w:r>
        <w:rPr>
          <w:color w:val="000000"/>
        </w:rPr>
        <w:t xml:space="preserve">En effet, </w:t>
      </w:r>
      <w:r w:rsidR="0031678F">
        <w:rPr>
          <w:color w:val="000000"/>
        </w:rPr>
        <w:t xml:space="preserve">le plus souvent, </w:t>
      </w:r>
      <w:r>
        <w:rPr>
          <w:color w:val="000000"/>
        </w:rPr>
        <w:t xml:space="preserve">seuls sont proposés les traitements et interventions pour modifier le corps, bloqueurs de puberté puis hormones croisées, et mastectomies pour l’instant. </w:t>
      </w:r>
    </w:p>
    <w:p w14:paraId="29FCD8DC" w14:textId="11C24B04" w:rsidR="00956703" w:rsidRDefault="00B71856">
      <w:pPr>
        <w:pBdr>
          <w:top w:val="nil"/>
          <w:left w:val="nil"/>
          <w:bottom w:val="nil"/>
          <w:right w:val="nil"/>
          <w:between w:val="nil"/>
        </w:pBdr>
        <w:spacing w:after="120" w:line="264" w:lineRule="auto"/>
        <w:jc w:val="both"/>
        <w:rPr>
          <w:color w:val="000000"/>
        </w:rPr>
      </w:pPr>
      <w:r>
        <w:rPr>
          <w:color w:val="000000"/>
        </w:rPr>
        <w:t xml:space="preserve">Or, la demande de transition peut être tout d’abord être l’expression d’un autre problème : il y a en effet </w:t>
      </w:r>
      <w:r w:rsidR="0031678F">
        <w:rPr>
          <w:color w:val="000000"/>
        </w:rPr>
        <w:t xml:space="preserve">chez ces jeunes </w:t>
      </w:r>
      <w:r>
        <w:rPr>
          <w:color w:val="000000"/>
        </w:rPr>
        <w:t>« une surreprésentation de comorbidités psychiatriques chez ces jeunes, et tout particulièrement des troubles anxiodépressifs, des troubles du spectre autistique, des troubles du comportement alimentaire, des troubles de la personnalité « état-limite », ainsi que des idéations suicidaires et des antécédents d’abus physiques, psychiques et sexuels »</w:t>
      </w:r>
      <w:r>
        <w:rPr>
          <w:color w:val="000000"/>
          <w:vertAlign w:val="superscript"/>
        </w:rPr>
        <w:footnoteReference w:id="2"/>
      </w:r>
      <w:r>
        <w:rPr>
          <w:color w:val="000000"/>
        </w:rPr>
        <w:t xml:space="preserve">. </w:t>
      </w:r>
    </w:p>
    <w:p w14:paraId="29FCD8DD" w14:textId="78E9CCF8" w:rsidR="00956703" w:rsidRDefault="00B71856">
      <w:pPr>
        <w:pBdr>
          <w:top w:val="nil"/>
          <w:left w:val="nil"/>
          <w:bottom w:val="nil"/>
          <w:right w:val="nil"/>
          <w:between w:val="nil"/>
        </w:pBdr>
        <w:spacing w:after="120" w:line="264" w:lineRule="auto"/>
        <w:jc w:val="both"/>
        <w:rPr>
          <w:color w:val="000000"/>
        </w:rPr>
      </w:pPr>
      <w:r>
        <w:rPr>
          <w:color w:val="000000"/>
        </w:rPr>
        <w:t>Si on s’interdit d’explorer les causes possibles</w:t>
      </w:r>
      <w:r w:rsidR="0031678F">
        <w:rPr>
          <w:color w:val="000000"/>
        </w:rPr>
        <w:t>, les autres causes possibles</w:t>
      </w:r>
      <w:r>
        <w:rPr>
          <w:color w:val="000000"/>
        </w:rPr>
        <w:t xml:space="preserve"> du mal-être du mineur, </w:t>
      </w:r>
      <w:r w:rsidR="0031678F">
        <w:rPr>
          <w:color w:val="000000"/>
        </w:rPr>
        <w:t xml:space="preserve">on se prive de la possibilité de les trouver et donc de les traiter et, finalement, le </w:t>
      </w:r>
      <w:proofErr w:type="gramStart"/>
      <w:r w:rsidR="0031678F">
        <w:rPr>
          <w:color w:val="000000"/>
        </w:rPr>
        <w:t xml:space="preserve">mineur </w:t>
      </w:r>
      <w:r>
        <w:rPr>
          <w:color w:val="000000"/>
        </w:rPr>
        <w:t xml:space="preserve"> est</w:t>
      </w:r>
      <w:proofErr w:type="gramEnd"/>
      <w:r>
        <w:rPr>
          <w:color w:val="000000"/>
        </w:rPr>
        <w:t xml:space="preserve"> privé des soins dont il aurait besoin. Par exemple, si un enfant souffre de dépression, </w:t>
      </w:r>
      <w:r>
        <w:rPr>
          <w:color w:val="000000"/>
        </w:rPr>
        <w:lastRenderedPageBreak/>
        <w:t>l’engager dans une transition médicale fera diversion un moment</w:t>
      </w:r>
      <w:r w:rsidR="00E67B60">
        <w:rPr>
          <w:color w:val="000000"/>
        </w:rPr>
        <w:t>,</w:t>
      </w:r>
      <w:r>
        <w:rPr>
          <w:color w:val="000000"/>
        </w:rPr>
        <w:t xml:space="preserve"> mais ne soignera pas la dépression qui demeurera. </w:t>
      </w:r>
    </w:p>
    <w:p w14:paraId="29FCD8DE" w14:textId="77777777" w:rsidR="00956703" w:rsidRDefault="00956703">
      <w:pPr>
        <w:pBdr>
          <w:top w:val="nil"/>
          <w:left w:val="nil"/>
          <w:bottom w:val="nil"/>
          <w:right w:val="nil"/>
          <w:between w:val="nil"/>
        </w:pBdr>
        <w:spacing w:after="120" w:line="264" w:lineRule="auto"/>
        <w:jc w:val="both"/>
        <w:rPr>
          <w:color w:val="000000"/>
        </w:rPr>
      </w:pPr>
    </w:p>
    <w:p w14:paraId="29FCD8DF" w14:textId="33D0C7BB" w:rsidR="00956703" w:rsidRDefault="00B71856">
      <w:pPr>
        <w:pBdr>
          <w:top w:val="nil"/>
          <w:left w:val="nil"/>
          <w:bottom w:val="nil"/>
          <w:right w:val="nil"/>
          <w:between w:val="nil"/>
        </w:pBdr>
        <w:spacing w:after="120" w:line="264" w:lineRule="auto"/>
        <w:jc w:val="both"/>
        <w:rPr>
          <w:color w:val="000000"/>
        </w:rPr>
      </w:pPr>
      <w:r>
        <w:rPr>
          <w:color w:val="000000"/>
        </w:rPr>
        <w:t xml:space="preserve">Ensuite, s’agissant de la prise en charge du rejet de l’identité sexuée proprement dit, </w:t>
      </w:r>
      <w:r w:rsidR="0031678F">
        <w:rPr>
          <w:color w:val="000000"/>
        </w:rPr>
        <w:t xml:space="preserve">la « dysphorie de genre », je ne sais si c’est le terme qu’il convient d’employer, </w:t>
      </w:r>
      <w:r>
        <w:rPr>
          <w:color w:val="000000"/>
        </w:rPr>
        <w:t xml:space="preserve">il existe ici encore un enjeu important de pouvoir travailler sur ses causes : que dit une fille qui s’affirme garçon. Que rejette-t-elle ? Que cherche-t-elle ? Pourquoi ? </w:t>
      </w:r>
    </w:p>
    <w:p w14:paraId="0E97840D" w14:textId="44975A16" w:rsidR="0031678F" w:rsidRDefault="00B71856">
      <w:pPr>
        <w:pBdr>
          <w:top w:val="nil"/>
          <w:left w:val="nil"/>
          <w:bottom w:val="nil"/>
          <w:right w:val="nil"/>
          <w:between w:val="nil"/>
        </w:pBdr>
        <w:spacing w:after="120" w:line="264" w:lineRule="auto"/>
        <w:jc w:val="both"/>
        <w:rPr>
          <w:color w:val="000000"/>
        </w:rPr>
      </w:pPr>
      <w:r>
        <w:rPr>
          <w:color w:val="000000"/>
        </w:rPr>
        <w:t xml:space="preserve">La prise en charge psychothérapeutique, holistique, vise à explorer les causes du mal-être, en vue de les traiter et d’aider ainsi le jeune à se réconcilier avec son corps. </w:t>
      </w:r>
    </w:p>
    <w:p w14:paraId="29FCD8E2" w14:textId="332EDA4A" w:rsidR="00956703" w:rsidRDefault="0031678F" w:rsidP="0031678F">
      <w:pPr>
        <w:pBdr>
          <w:top w:val="nil"/>
          <w:left w:val="nil"/>
          <w:bottom w:val="nil"/>
          <w:right w:val="nil"/>
          <w:between w:val="nil"/>
        </w:pBdr>
        <w:spacing w:after="120" w:line="264" w:lineRule="auto"/>
        <w:jc w:val="both"/>
        <w:rPr>
          <w:color w:val="000000"/>
        </w:rPr>
      </w:pPr>
      <w:r>
        <w:rPr>
          <w:color w:val="000000"/>
        </w:rPr>
        <w:t xml:space="preserve">Et là cette prise en charge est à mon sens </w:t>
      </w:r>
      <w:r w:rsidR="00B71856">
        <w:rPr>
          <w:color w:val="000000"/>
        </w:rPr>
        <w:t>tout à fait insuffisante</w:t>
      </w:r>
      <w:r>
        <w:rPr>
          <w:color w:val="000000"/>
        </w:rPr>
        <w:t xml:space="preserve">, tout d’abord car elle est très rarement </w:t>
      </w:r>
      <w:r w:rsidR="00B71856">
        <w:rPr>
          <w:color w:val="000000"/>
        </w:rPr>
        <w:t xml:space="preserve">proposée, voire même présentée comme une thérapie de conversion. </w:t>
      </w:r>
      <w:r>
        <w:rPr>
          <w:color w:val="000000"/>
        </w:rPr>
        <w:t>Je voudrais d’ailleurs nuancer ce qui a été dit sur le consensus international :</w:t>
      </w:r>
      <w:r w:rsidR="00B71856">
        <w:rPr>
          <w:color w:val="000000"/>
        </w:rPr>
        <w:t xml:space="preserve"> si la condamnation par les instances internationales des thérapies de conversion  apparaît unanime, en revanche l’assimilation de la prise en charge psychothérapeutique des mineurs en questionnement de genre à une thérapie de conversion est loin de faire l’unanimité, comme en témoigne notamment le rapport du 16 juin 2025 de la Rapporteuse spéciale ONU pour les violences contre les femmes et les filles, </w:t>
      </w:r>
      <w:proofErr w:type="spellStart"/>
      <w:r w:rsidR="00B71856">
        <w:rPr>
          <w:color w:val="000000"/>
        </w:rPr>
        <w:t>Reem</w:t>
      </w:r>
      <w:proofErr w:type="spellEnd"/>
      <w:r w:rsidR="00B71856">
        <w:rPr>
          <w:color w:val="000000"/>
        </w:rPr>
        <w:t xml:space="preserve"> </w:t>
      </w:r>
      <w:proofErr w:type="spellStart"/>
      <w:r w:rsidR="00B71856">
        <w:rPr>
          <w:color w:val="000000"/>
        </w:rPr>
        <w:t>Alsalem</w:t>
      </w:r>
      <w:proofErr w:type="spellEnd"/>
      <w:r w:rsidR="00B71856">
        <w:rPr>
          <w:color w:val="000000"/>
        </w:rPr>
        <w:t>, qui considère que « Le fait d’autoriser un enfant à accéder à de tels traitements non seulement constitue une violation de son droit à la sûreté et à la sécurité, ainsi que de son droit d’être à l’abri de la violence, mais fait également abstraction de son droit à la meilleure santé possible et est contraire à son intérêt supérieur » et  recommande en conséquence l’interdiction « de la transition légale et sociale des enfants qui disent ressentir une dysphorie de genre, de même que leur soumission à des interventions médicales expérimentales et irréversibles liées à la réassignation de genre » (§ 62 c)</w:t>
      </w:r>
      <w:r w:rsidR="00B71856">
        <w:rPr>
          <w:color w:val="000000"/>
          <w:vertAlign w:val="superscript"/>
        </w:rPr>
        <w:footnoteReference w:id="3"/>
      </w:r>
      <w:r w:rsidR="00B71856">
        <w:rPr>
          <w:color w:val="000000"/>
        </w:rPr>
        <w:t xml:space="preserve">. </w:t>
      </w:r>
    </w:p>
    <w:p w14:paraId="29FCD8E3" w14:textId="27791037" w:rsidR="00956703" w:rsidRDefault="00B71856">
      <w:pPr>
        <w:pBdr>
          <w:top w:val="nil"/>
          <w:left w:val="nil"/>
          <w:bottom w:val="nil"/>
          <w:right w:val="nil"/>
          <w:between w:val="nil"/>
        </w:pBdr>
        <w:spacing w:after="120" w:line="264" w:lineRule="auto"/>
        <w:jc w:val="both"/>
        <w:rPr>
          <w:color w:val="000000"/>
        </w:rPr>
      </w:pPr>
      <w:r>
        <w:rPr>
          <w:color w:val="000000"/>
        </w:rPr>
        <w:t xml:space="preserve">Ensuite, même si </w:t>
      </w:r>
      <w:r w:rsidR="00900487">
        <w:rPr>
          <w:color w:val="000000"/>
        </w:rPr>
        <w:t xml:space="preserve">la prise en charge psychothérapeutique </w:t>
      </w:r>
      <w:r>
        <w:rPr>
          <w:color w:val="000000"/>
        </w:rPr>
        <w:t xml:space="preserve">est choisie par les parents et leur enfant, l’accès aux soins est très limité car il n’y a pas assez de pédopsychiatres, et que beaucoup de psychologues n’osent pas proposer cette prise en charge holistique. </w:t>
      </w:r>
    </w:p>
    <w:p w14:paraId="29FCD8E4" w14:textId="77777777" w:rsidR="00956703" w:rsidRDefault="00956703">
      <w:pPr>
        <w:pBdr>
          <w:top w:val="nil"/>
          <w:left w:val="nil"/>
          <w:bottom w:val="nil"/>
          <w:right w:val="nil"/>
          <w:between w:val="nil"/>
        </w:pBdr>
        <w:spacing w:after="120" w:line="264" w:lineRule="auto"/>
        <w:jc w:val="both"/>
        <w:rPr>
          <w:color w:val="000000"/>
        </w:rPr>
      </w:pPr>
    </w:p>
    <w:p w14:paraId="29FCD8E5"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Cette situation est d’autant plus étonnante que les « soins » de réassignation sexuelle sont, eux, invasifs, ont des effets secondaires importants et des conséquences définitives. </w:t>
      </w:r>
    </w:p>
    <w:p w14:paraId="29FCD8E6"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Le terme de soins n’est certes pas défini par la loi, mais il est permis d’interroger la qualité de soins qui vont transformer un corps sain en corps dysfonctionnel et dépendant à vie aux hormones. </w:t>
      </w:r>
    </w:p>
    <w:p w14:paraId="29FCD8E7" w14:textId="6A6FE4D2" w:rsidR="00956703" w:rsidRDefault="00B71856">
      <w:pPr>
        <w:pBdr>
          <w:top w:val="nil"/>
          <w:left w:val="nil"/>
          <w:bottom w:val="nil"/>
          <w:right w:val="nil"/>
          <w:between w:val="nil"/>
        </w:pBdr>
        <w:spacing w:after="120" w:line="264" w:lineRule="auto"/>
        <w:jc w:val="both"/>
        <w:rPr>
          <w:color w:val="000000"/>
        </w:rPr>
      </w:pPr>
      <w:r>
        <w:rPr>
          <w:color w:val="000000"/>
        </w:rPr>
        <w:t>Les traitements ont en outre des effets secondaires importants : par exemple, les bloqueurs de puberté entrainent une perte de densité osseuse, l’ostéoporose, et engagent la fertilité future, et la capacité sexuelle</w:t>
      </w:r>
      <w:r w:rsidR="00900487">
        <w:rPr>
          <w:color w:val="000000"/>
        </w:rPr>
        <w:t xml:space="preserve"> des enfants. </w:t>
      </w:r>
    </w:p>
    <w:p w14:paraId="29FCD8E8" w14:textId="77777777" w:rsidR="00956703" w:rsidRDefault="00B71856">
      <w:pPr>
        <w:spacing w:after="120" w:line="264" w:lineRule="auto"/>
        <w:jc w:val="both"/>
        <w:rPr>
          <w:color w:val="000000"/>
        </w:rPr>
      </w:pPr>
      <w:r>
        <w:rPr>
          <w:color w:val="000000"/>
        </w:rPr>
        <w:t xml:space="preserve">Certes, de nombreux traitements ont des effets secondaires, acceptés dans la perspective du bénéfice supérieur attendu : mais le point de départ est un état déficient du corps, auquel on </w:t>
      </w:r>
      <w:r>
        <w:rPr>
          <w:color w:val="000000"/>
        </w:rPr>
        <w:lastRenderedPageBreak/>
        <w:t>espère remédier. De même, lorsqu’on enlève des organes, ce n’est qu’en dernier recours, parce qu’ils sont dysfonctionnels ou présentent un danger pour le reste du corps.</w:t>
      </w:r>
    </w:p>
    <w:p w14:paraId="29FCD8E9" w14:textId="77777777" w:rsidR="00956703" w:rsidRDefault="00B71856">
      <w:pPr>
        <w:spacing w:after="120" w:line="264" w:lineRule="auto"/>
        <w:jc w:val="both"/>
        <w:rPr>
          <w:color w:val="000000"/>
        </w:rPr>
      </w:pPr>
      <w:r>
        <w:rPr>
          <w:color w:val="000000"/>
        </w:rPr>
        <w:t xml:space="preserve">Or, les bloqueurs de puberté et les hormones croisées sont administrées à un corps sain. L’amputation des organes dans les chirurgies de réassignation sexuelle concerne des organes sains, et qui fonctionnement normalement. </w:t>
      </w:r>
    </w:p>
    <w:p w14:paraId="29FCD8EA" w14:textId="77777777" w:rsidR="00956703" w:rsidRDefault="00B71856">
      <w:pPr>
        <w:spacing w:after="120" w:line="264" w:lineRule="auto"/>
        <w:jc w:val="both"/>
        <w:rPr>
          <w:color w:val="000000"/>
        </w:rPr>
      </w:pPr>
      <w:r>
        <w:rPr>
          <w:color w:val="000000"/>
        </w:rPr>
        <w:t xml:space="preserve">Le tout alors qu’en outre le développement sexuel de l’enfant n’est pas arrivé à maturité et qu’il n’est pas certain, en raison des traitements administrés, de parvenir ensuite à un développement sexuel complet. </w:t>
      </w:r>
      <w:proofErr w:type="spellStart"/>
      <w:r>
        <w:rPr>
          <w:color w:val="000000"/>
        </w:rPr>
        <w:t>Marci</w:t>
      </w:r>
      <w:proofErr w:type="spellEnd"/>
      <w:r>
        <w:rPr>
          <w:color w:val="000000"/>
        </w:rPr>
        <w:t xml:space="preserve"> </w:t>
      </w:r>
      <w:proofErr w:type="spellStart"/>
      <w:r>
        <w:rPr>
          <w:color w:val="000000"/>
        </w:rPr>
        <w:t>Bowers</w:t>
      </w:r>
      <w:proofErr w:type="spellEnd"/>
      <w:r>
        <w:rPr>
          <w:color w:val="000000"/>
        </w:rPr>
        <w:t>,</w:t>
      </w:r>
      <w:r>
        <w:rPr>
          <w:color w:val="000000"/>
          <w:highlight w:val="white"/>
        </w:rPr>
        <w:t> </w:t>
      </w:r>
      <w:r>
        <w:rPr>
          <w:color w:val="000000"/>
        </w:rPr>
        <w:t>gynécologue spécialiste de la vaginoplastie de renommée mondiale, a ainsi reconnu cette altération du potentiel érotique à venir des enfants « comme un problème majeur, en précisant : « Si vous n'avez jamais eu d'orgasme avant l'opération, et que votre puberté est bloquée, il est très difficile d'y parvenir par la suite »</w:t>
      </w:r>
      <w:r>
        <w:rPr>
          <w:color w:val="000000"/>
          <w:vertAlign w:val="superscript"/>
        </w:rPr>
        <w:footnoteReference w:id="4"/>
      </w:r>
      <w:r>
        <w:rPr>
          <w:color w:val="000000"/>
        </w:rPr>
        <w:t>.</w:t>
      </w:r>
    </w:p>
    <w:p w14:paraId="29FCD8EC" w14:textId="77777777" w:rsidR="00956703" w:rsidRDefault="00B71856">
      <w:pPr>
        <w:spacing w:after="120" w:line="264" w:lineRule="auto"/>
        <w:jc w:val="both"/>
        <w:rPr>
          <w:color w:val="000000"/>
        </w:rPr>
      </w:pPr>
      <w:r>
        <w:rPr>
          <w:color w:val="000000"/>
        </w:rPr>
        <w:t xml:space="preserve">Tout cela explique que de nombreux pays aient redirigé les soins pour les mineurs en priorité vers la prise en charge psychothérapeutique, et limité voire interdit les transitions médicales pour les mineurs : la Finlande tout d’abord, puis la Suède, le Royaume-Uni ainsi que plusieurs états américains et, en dernier lieu, la suppression du financement fédéral des transitions médicales sur les mineurs aux États-Unis. </w:t>
      </w:r>
    </w:p>
    <w:p w14:paraId="29FCD8ED" w14:textId="77777777" w:rsidR="00956703" w:rsidRDefault="00B71856">
      <w:pPr>
        <w:spacing w:after="120" w:line="264" w:lineRule="auto"/>
        <w:jc w:val="both"/>
        <w:rPr>
          <w:color w:val="000000"/>
        </w:rPr>
      </w:pPr>
      <w:r>
        <w:rPr>
          <w:color w:val="000000"/>
        </w:rPr>
        <w:t xml:space="preserve">Dès lors qu’il y a une possibilité que l’enfant ou l’adolescent sorte de la détresse liée à son genre en se réconciliant avec son corps, la prise en charge devrait la privilégier. Il sera toujours temps, si le jeune devenu adulte persiste, de proposer des traitements invasifs. </w:t>
      </w:r>
    </w:p>
    <w:p w14:paraId="29FCD8EE" w14:textId="77777777" w:rsidR="00956703" w:rsidRDefault="00B71856">
      <w:pPr>
        <w:spacing w:before="240" w:after="240"/>
        <w:jc w:val="both"/>
        <w:rPr>
          <w:b/>
          <w:bCs/>
        </w:rPr>
      </w:pPr>
      <w:r>
        <w:rPr>
          <w:b/>
          <w:bCs/>
        </w:rPr>
        <w:t>Benjamin</w:t>
      </w:r>
      <w:r>
        <w:t xml:space="preserve"> </w:t>
      </w:r>
      <w:r>
        <w:rPr>
          <w:b/>
          <w:bCs/>
        </w:rPr>
        <w:t>Moron-Puech </w:t>
      </w:r>
      <w:r>
        <w:t>: De mon côté, j’estime que la prise en charge des personnes mineures trans n’est pas excessive, mais au contraire restrictive, en raison de nombreuses barrières.</w:t>
      </w:r>
    </w:p>
    <w:p w14:paraId="29FCD8EF" w14:textId="77777777" w:rsidR="00956703" w:rsidRDefault="00B71856">
      <w:pPr>
        <w:spacing w:before="240" w:after="240"/>
        <w:jc w:val="both"/>
      </w:pPr>
      <w:r>
        <w:t xml:space="preserve">Je voudrais présenter les données factuelles sur lesquelles je m’appuie pour soutenir, </w:t>
      </w:r>
      <w:r>
        <w:rPr>
          <w:i/>
          <w:iCs/>
        </w:rPr>
        <w:t>primo</w:t>
      </w:r>
      <w:r>
        <w:t xml:space="preserve">, que les autorités médicales font preuve de prudence, et </w:t>
      </w:r>
      <w:r>
        <w:rPr>
          <w:i/>
          <w:iCs/>
        </w:rPr>
        <w:t>secundo</w:t>
      </w:r>
      <w:r>
        <w:t xml:space="preserve">, que cette prudence me semble excessive et caractéristique d’obstacles dans l’accès aux soins. Je m’appuierai principalement ici sur les chiffres d’une étude faite à la </w:t>
      </w:r>
      <w:proofErr w:type="spellStart"/>
      <w:r>
        <w:t>Pitié-Salpétrière</w:t>
      </w:r>
      <w:proofErr w:type="spellEnd"/>
      <w:r>
        <w:t xml:space="preserve"> et sur un rapport rendu au ministre français de la santé, </w:t>
      </w:r>
      <w:proofErr w:type="spellStart"/>
      <w:r>
        <w:t>co</w:t>
      </w:r>
      <w:proofErr w:type="spellEnd"/>
      <w:r>
        <w:t>-porté par l’IGAS</w:t>
      </w:r>
      <w:r>
        <w:rPr>
          <w:vertAlign w:val="superscript"/>
        </w:rPr>
        <w:footnoteReference w:id="5"/>
      </w:r>
      <w:r>
        <w:t>.</w:t>
      </w:r>
    </w:p>
    <w:p w14:paraId="29FCD8F0" w14:textId="77777777" w:rsidR="00956703" w:rsidRDefault="00B71856">
      <w:pPr>
        <w:spacing w:before="240" w:after="240"/>
        <w:jc w:val="both"/>
      </w:pPr>
      <w:r>
        <w:t>L’équipe soignante de l’hôpital de la Pitié-Salpêtrière a vu 239 personnes âgées de 3 à 20 ans entre 2012 et 2020.</w:t>
      </w:r>
    </w:p>
    <w:p w14:paraId="29FCD8F1" w14:textId="77777777" w:rsidR="00956703" w:rsidRDefault="00B71856">
      <w:pPr>
        <w:spacing w:before="240" w:after="240"/>
        <w:jc w:val="both"/>
      </w:pPr>
      <w:r>
        <w:t>Sur ces 239 personnes, seules 11 % ont reçu des bloqueurs de puberté, après un délai moyen de 10 mois, pour un âge moyen de première prescription de 13,9 ans.</w:t>
      </w:r>
    </w:p>
    <w:p w14:paraId="29FCD8F2" w14:textId="77777777" w:rsidR="00956703" w:rsidRDefault="00B71856">
      <w:pPr>
        <w:spacing w:before="240" w:after="240"/>
        <w:jc w:val="both"/>
      </w:pPr>
      <w:r>
        <w:t xml:space="preserve">Pour les hormones </w:t>
      </w:r>
      <w:proofErr w:type="spellStart"/>
      <w:r>
        <w:t>masculinisantes</w:t>
      </w:r>
      <w:proofErr w:type="spellEnd"/>
      <w:r>
        <w:t xml:space="preserve"> ou féminisantes, le taux est de 44 %, avec un délai moyen de 14 mois. Ces taux doivent être comparés au taux de transition sociale, qui est de 40 % avant la première consultation.</w:t>
      </w:r>
    </w:p>
    <w:p w14:paraId="29FCD8F3" w14:textId="77777777" w:rsidR="00956703" w:rsidRDefault="00B71856">
      <w:pPr>
        <w:spacing w:before="240" w:after="240"/>
        <w:jc w:val="both"/>
      </w:pPr>
      <w:r>
        <w:lastRenderedPageBreak/>
        <w:t>Concernant la chirurgie, aucune intervention sur les organes génitaux n’a été pratiquée.</w:t>
      </w:r>
      <w:r>
        <w:br/>
        <w:t xml:space="preserve">La </w:t>
      </w:r>
      <w:proofErr w:type="spellStart"/>
      <w:r>
        <w:t>torsoplastie</w:t>
      </w:r>
      <w:proofErr w:type="spellEnd"/>
      <w:r>
        <w:t xml:space="preserve"> a concerné 20 % des personnes hormonées, soit 12,5 % de l’échantillon total.</w:t>
      </w:r>
      <w:r>
        <w:br/>
        <w:t>L’âge moyen est de 18,44 ans, ou environ 17 ans pour les mineurs stricts.</w:t>
      </w:r>
    </w:p>
    <w:p w14:paraId="29FCD8F4" w14:textId="77777777" w:rsidR="00956703" w:rsidRDefault="00B71856">
      <w:pPr>
        <w:spacing w:before="240" w:after="240"/>
        <w:jc w:val="both"/>
      </w:pPr>
      <w:r>
        <w:t>Les données de l’hôpital Robert-Debré sont similaires</w:t>
      </w:r>
      <w:r>
        <w:rPr>
          <w:vertAlign w:val="superscript"/>
        </w:rPr>
        <w:footnoteReference w:id="6"/>
      </w:r>
      <w:r>
        <w:t>.</w:t>
      </w:r>
    </w:p>
    <w:p w14:paraId="29FCD8F5" w14:textId="79307D59" w:rsidR="00956703" w:rsidRDefault="00B71856">
      <w:pPr>
        <w:spacing w:before="240" w:after="240"/>
        <w:jc w:val="both"/>
      </w:pPr>
      <w:r>
        <w:t xml:space="preserve">Je n’ai donc pas l’impression que ce soit un « open bar ». J’ai plutôt l’impression que ces chiffres nous montrent la prudence des </w:t>
      </w:r>
      <w:proofErr w:type="spellStart"/>
      <w:r>
        <w:t>professionnæls</w:t>
      </w:r>
      <w:proofErr w:type="spellEnd"/>
      <w:r w:rsidR="00387550">
        <w:t>*</w:t>
      </w:r>
      <w:r w:rsidR="00387550">
        <w:rPr>
          <w:rStyle w:val="Appelnotedebasdep"/>
        </w:rPr>
        <w:footnoteReference w:id="7"/>
      </w:r>
      <w:r>
        <w:t xml:space="preserve"> de santé, voire leur réticence, assimilable, </w:t>
      </w:r>
      <w:r>
        <w:rPr>
          <w:i/>
          <w:iCs/>
        </w:rPr>
        <w:t>secundo</w:t>
      </w:r>
      <w:r>
        <w:t>, à un obstacle dans l’accès aux soins.</w:t>
      </w:r>
    </w:p>
    <w:p w14:paraId="627B592F" w14:textId="5A850F21" w:rsidR="00B61982" w:rsidRDefault="00B71856">
      <w:pPr>
        <w:spacing w:before="240" w:after="240"/>
        <w:jc w:val="both"/>
      </w:pPr>
      <w:r>
        <w:t xml:space="preserve">Selon les chiffres </w:t>
      </w:r>
      <w:r w:rsidR="00B61982">
        <w:t>collectés</w:t>
      </w:r>
      <w:r>
        <w:t xml:space="preserve"> par l’IGAS dans le rapport précité, le taux de personnes mineures bénéficiant d’une ALD est de 2,2 pour 100 000 en 2020, contre 42 pour la tranche d’âge supérieure (18-35 ans). 2,2 contre 42 donc, soit vingt fois moins de prises en charges de personnes mineures que de jeunes adultes</w:t>
      </w:r>
      <w:r w:rsidR="00B61982">
        <w:t xml:space="preserve">. </w:t>
      </w:r>
    </w:p>
    <w:p w14:paraId="29FCD8F6" w14:textId="7DF95D40" w:rsidR="00956703" w:rsidRDefault="00B71856">
      <w:pPr>
        <w:spacing w:before="240" w:after="240"/>
        <w:jc w:val="both"/>
      </w:pPr>
      <w:r>
        <w:t>Les mineurs représentent seulement 1 % des hospitalisations liées à l’identité de genre.</w:t>
      </w:r>
    </w:p>
    <w:p w14:paraId="29FCD8F7" w14:textId="77777777" w:rsidR="00956703" w:rsidRDefault="00B71856">
      <w:pPr>
        <w:spacing w:before="240" w:after="240"/>
        <w:jc w:val="both"/>
      </w:pPr>
      <w:r>
        <w:t>Or, 6 % des moins de 18 ans déclarent un doute sur leur genre, contre 2,3 % des 18–89 ans</w:t>
      </w:r>
      <w:r>
        <w:rPr>
          <w:vertAlign w:val="superscript"/>
        </w:rPr>
        <w:footnoteReference w:id="8"/>
      </w:r>
      <w:r>
        <w:t>.</w:t>
      </w:r>
    </w:p>
    <w:p w14:paraId="29FCD8F8" w14:textId="77777777" w:rsidR="00956703" w:rsidRDefault="00B71856">
      <w:pPr>
        <w:spacing w:before="240" w:after="240"/>
        <w:jc w:val="both"/>
      </w:pPr>
      <w:r>
        <w:t>Enfin, les 18–35 ans représentent deux tiers des séjours hospitaliers et 75 % des ALD (rapport IGAS précité), ce qui suggère un report des soins à la majorité et dont la preuve d’un obstacle aux soins des personnes mineures transgenres.</w:t>
      </w:r>
    </w:p>
    <w:p w14:paraId="29FCD8F9" w14:textId="77777777" w:rsidR="00956703" w:rsidRDefault="00956703">
      <w:pPr>
        <w:jc w:val="both"/>
      </w:pPr>
    </w:p>
    <w:p w14:paraId="29FCD8FA" w14:textId="77777777" w:rsidR="00956703" w:rsidRDefault="00956703">
      <w:pPr>
        <w:jc w:val="both"/>
      </w:pPr>
    </w:p>
    <w:p w14:paraId="29FCD8FB" w14:textId="77777777" w:rsidR="00956703" w:rsidRDefault="00956703">
      <w:pPr>
        <w:jc w:val="both"/>
      </w:pPr>
    </w:p>
    <w:p w14:paraId="29FCD8FC" w14:textId="1F4A079D" w:rsidR="00956703" w:rsidRPr="007054EB" w:rsidRDefault="007054EB">
      <w:pPr>
        <w:pBdr>
          <w:top w:val="nil"/>
          <w:left w:val="nil"/>
          <w:bottom w:val="nil"/>
          <w:right w:val="nil"/>
          <w:between w:val="nil"/>
        </w:pBdr>
        <w:spacing w:after="120" w:line="264" w:lineRule="auto"/>
        <w:jc w:val="both"/>
        <w:rPr>
          <w:b/>
          <w:bCs/>
          <w:color w:val="000000"/>
        </w:rPr>
      </w:pPr>
      <w:r>
        <w:rPr>
          <w:b/>
          <w:bCs/>
          <w:color w:val="000000"/>
        </w:rPr>
        <w:t xml:space="preserve">Laurence </w:t>
      </w:r>
      <w:proofErr w:type="spellStart"/>
      <w:r>
        <w:rPr>
          <w:b/>
          <w:bCs/>
          <w:color w:val="000000"/>
        </w:rPr>
        <w:t>Francoz</w:t>
      </w:r>
      <w:proofErr w:type="spellEnd"/>
      <w:r w:rsidR="0054423A">
        <w:rPr>
          <w:b/>
          <w:bCs/>
          <w:color w:val="000000"/>
        </w:rPr>
        <w:t xml:space="preserve"> </w:t>
      </w:r>
      <w:r>
        <w:rPr>
          <w:b/>
          <w:bCs/>
          <w:color w:val="000000"/>
        </w:rPr>
        <w:t>Terminal</w:t>
      </w:r>
      <w:r w:rsidR="00B71856">
        <w:rPr>
          <w:b/>
          <w:bCs/>
          <w:color w:val="000000"/>
        </w:rPr>
        <w:t xml:space="preserve"> : </w:t>
      </w:r>
      <w:r w:rsidR="00B71856" w:rsidRPr="007054EB">
        <w:rPr>
          <w:b/>
          <w:bCs/>
          <w:color w:val="000000"/>
        </w:rPr>
        <w:t xml:space="preserve">Concernant le </w:t>
      </w:r>
      <w:r w:rsidR="0054423A">
        <w:rPr>
          <w:b/>
          <w:bCs/>
          <w:color w:val="000000"/>
        </w:rPr>
        <w:t>deuxième</w:t>
      </w:r>
      <w:r w:rsidR="00B71856" w:rsidRPr="007054EB">
        <w:rPr>
          <w:b/>
          <w:bCs/>
          <w:color w:val="000000"/>
        </w:rPr>
        <w:t xml:space="preserve"> désaccord, portant sur les concepts, pourriez-vous nous expliquer si vous pensez </w:t>
      </w:r>
      <w:proofErr w:type="gramStart"/>
      <w:r w:rsidR="00B71856" w:rsidRPr="007054EB">
        <w:rPr>
          <w:b/>
          <w:bCs/>
          <w:color w:val="000000"/>
        </w:rPr>
        <w:t>adapté</w:t>
      </w:r>
      <w:proofErr w:type="gramEnd"/>
      <w:r w:rsidR="00B71856" w:rsidRPr="007054EB">
        <w:rPr>
          <w:b/>
          <w:bCs/>
          <w:color w:val="000000"/>
        </w:rPr>
        <w:t xml:space="preserve"> ou inadapté de parler de personne mineure transgenre, </w:t>
      </w:r>
      <w:r w:rsidR="0054423A">
        <w:rPr>
          <w:b/>
          <w:bCs/>
          <w:color w:val="000000"/>
        </w:rPr>
        <w:t>et si selon vous les notions de genre ou d’identité de genre sont des concepts pertinents</w:t>
      </w:r>
      <w:r w:rsidR="00B71856" w:rsidRPr="007054EB">
        <w:rPr>
          <w:b/>
          <w:bCs/>
          <w:color w:val="000000"/>
        </w:rPr>
        <w:t>.</w:t>
      </w:r>
    </w:p>
    <w:p w14:paraId="29FCD8FD" w14:textId="77777777" w:rsidR="00956703" w:rsidRDefault="00956703">
      <w:pPr>
        <w:spacing w:after="120" w:line="264" w:lineRule="auto"/>
        <w:jc w:val="both"/>
        <w:rPr>
          <w:color w:val="000000"/>
          <w:highlight w:val="white"/>
        </w:rPr>
      </w:pPr>
    </w:p>
    <w:p w14:paraId="29FCD8FE" w14:textId="77777777" w:rsidR="00956703" w:rsidRDefault="00B71856">
      <w:pPr>
        <w:spacing w:after="120" w:line="264" w:lineRule="auto"/>
        <w:jc w:val="both"/>
        <w:rPr>
          <w:color w:val="000000"/>
          <w:highlight w:val="white"/>
        </w:rPr>
      </w:pPr>
      <w:r>
        <w:rPr>
          <w:b/>
          <w:bCs/>
          <w:color w:val="000000"/>
          <w:highlight w:val="white"/>
        </w:rPr>
        <w:t>Aude Mirkovic </w:t>
      </w:r>
      <w:r>
        <w:rPr>
          <w:color w:val="000000"/>
          <w:highlight w:val="white"/>
        </w:rPr>
        <w:t>: Selon les principes de Jogjakarta (2007), « l'identité de genre fait référence à l'expérience intime et personnelle de son genre profondément vécue par chacun ».</w:t>
      </w:r>
    </w:p>
    <w:p w14:paraId="29FCD8FF" w14:textId="77777777" w:rsidR="00956703" w:rsidRDefault="00B71856">
      <w:pPr>
        <w:spacing w:after="120" w:line="264" w:lineRule="auto"/>
        <w:jc w:val="both"/>
        <w:rPr>
          <w:color w:val="000000"/>
          <w:highlight w:val="white"/>
        </w:rPr>
      </w:pPr>
      <w:r>
        <w:rPr>
          <w:color w:val="000000"/>
        </w:rPr>
        <w:t xml:space="preserve">Laurence </w:t>
      </w:r>
      <w:proofErr w:type="spellStart"/>
      <w:r>
        <w:rPr>
          <w:color w:val="000000"/>
        </w:rPr>
        <w:t>Vanceunebrock</w:t>
      </w:r>
      <w:proofErr w:type="spellEnd"/>
      <w:r>
        <w:rPr>
          <w:color w:val="000000"/>
        </w:rPr>
        <w:t xml:space="preserve">, </w:t>
      </w:r>
      <w:proofErr w:type="spellStart"/>
      <w:r>
        <w:rPr>
          <w:color w:val="000000"/>
        </w:rPr>
        <w:t>rapporteure</w:t>
      </w:r>
      <w:proofErr w:type="spellEnd"/>
      <w:r>
        <w:rPr>
          <w:color w:val="000000"/>
        </w:rPr>
        <w:t xml:space="preserve"> de la proposition devenue la loi n° 2022-92 du 31 janvier 2022, explique à l’Assemblée nationale que le genre est « le sentiment d’appartenance à une identité féminine, masculine, non binaire ou autre », et que « l’identité de genre est l’identité que l’on ressent au fond de soi »</w:t>
      </w:r>
      <w:r>
        <w:rPr>
          <w:color w:val="000000"/>
          <w:vertAlign w:val="superscript"/>
        </w:rPr>
        <w:footnoteReference w:id="9"/>
      </w:r>
      <w:r>
        <w:rPr>
          <w:color w:val="000000"/>
        </w:rPr>
        <w:t xml:space="preserve">. </w:t>
      </w:r>
    </w:p>
    <w:p w14:paraId="29FCD900" w14:textId="77777777" w:rsidR="00956703" w:rsidRDefault="00B71856">
      <w:pPr>
        <w:spacing w:after="120" w:line="264" w:lineRule="auto"/>
        <w:jc w:val="both"/>
        <w:rPr>
          <w:color w:val="000000"/>
        </w:rPr>
      </w:pPr>
      <w:r>
        <w:rPr>
          <w:color w:val="000000"/>
        </w:rPr>
        <w:t xml:space="preserve">L’identité de genre renvoie donc au sentiment, ressenti, à l’expérience intime que la personne a d’elle-même. </w:t>
      </w:r>
    </w:p>
    <w:p w14:paraId="29FCD901" w14:textId="77777777" w:rsidR="00956703" w:rsidRDefault="00B71856">
      <w:pPr>
        <w:spacing w:after="120" w:line="264" w:lineRule="auto"/>
        <w:jc w:val="both"/>
        <w:rPr>
          <w:color w:val="000000"/>
        </w:rPr>
      </w:pPr>
      <w:r>
        <w:rPr>
          <w:color w:val="000000"/>
        </w:rPr>
        <w:lastRenderedPageBreak/>
        <w:t xml:space="preserve">Ce ressenti est-il susceptible de définir l’identité de la personne ? </w:t>
      </w:r>
    </w:p>
    <w:p w14:paraId="29FCD902"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L’identité vise à identifier la personne, à partir des caractéristiques avec lesquelles elle est née pour certaines et qu’elle a acquises ensuite pour d’autres, et notamment : le nom, le prénom, la date de naissance, le lieu de naissance, le sexe, la filiation, etc. Aucun de ces éléments ne définit la personne à lui tout seul, mais ils participent tous de son identité. </w:t>
      </w:r>
    </w:p>
    <w:p w14:paraId="29FCD903"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Je ne pense pas que le ressenti d’une personne soit un élément de l’ordre de l’identité de la personne, pour 2 raisons principales : </w:t>
      </w:r>
    </w:p>
    <w:p w14:paraId="29FCD904" w14:textId="77777777" w:rsidR="00956703" w:rsidRDefault="00B71856">
      <w:pPr>
        <w:pBdr>
          <w:top w:val="nil"/>
          <w:left w:val="nil"/>
          <w:bottom w:val="nil"/>
          <w:right w:val="nil"/>
          <w:between w:val="nil"/>
        </w:pBdr>
        <w:spacing w:after="120" w:line="264" w:lineRule="auto"/>
        <w:jc w:val="both"/>
        <w:rPr>
          <w:color w:val="000000"/>
        </w:rPr>
      </w:pPr>
      <w:r>
        <w:rPr>
          <w:color w:val="000000"/>
        </w:rPr>
        <w:t>1/ Par définition un ressenti est subjectif, relatif, changeant et bien souvent mystérieux y compris pour l’intéressé lui-même. En effet, que veut dire s’identifier femme, ou homme ? À quoi l’intéressé doit-il s’identifier pour savoir qu’il s’identifie femme ? Je n’ai pas la réponse à la question, surtout lorsque le donné biologique est mis de côté pour définir la femme et l’homme.</w:t>
      </w:r>
    </w:p>
    <w:p w14:paraId="29FCD905"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2/ Les ressentis sont illimités, la façon dont la personne se ressent ne se limite pas au genre, et si l’on se place sur le terrain de l’expérience intime que la personne a d’elle-même, pourquoi seuls les ressentis de genre seraient-ils dignes d’intérêt ? </w:t>
      </w:r>
    </w:p>
    <w:p w14:paraId="29FCD906" w14:textId="77777777" w:rsidR="00956703" w:rsidRDefault="00B71856">
      <w:pPr>
        <w:pBdr>
          <w:top w:val="nil"/>
          <w:left w:val="nil"/>
          <w:bottom w:val="nil"/>
          <w:right w:val="nil"/>
          <w:between w:val="nil"/>
        </w:pBdr>
        <w:spacing w:after="120" w:line="264" w:lineRule="auto"/>
        <w:jc w:val="both"/>
        <w:rPr>
          <w:color w:val="000000"/>
          <w:highlight w:val="white"/>
        </w:rPr>
      </w:pPr>
      <w:r>
        <w:rPr>
          <w:color w:val="000000"/>
        </w:rPr>
        <w:t>Certaines personnes ne sont pas en adéquation avec leur date de naissance ou leur origine ethnique. D’autres</w:t>
      </w:r>
      <w:r>
        <w:rPr>
          <w:color w:val="000000"/>
          <w:highlight w:val="white"/>
        </w:rPr>
        <w:t xml:space="preserve"> pourraient encore demander à mettre leur état civil en adéquation avec leur ressenti en termes de filiation. Etc.</w:t>
      </w:r>
    </w:p>
    <w:p w14:paraId="29FCD907" w14:textId="77777777" w:rsidR="00956703" w:rsidRDefault="00B71856">
      <w:pPr>
        <w:spacing w:after="120" w:line="264" w:lineRule="auto"/>
        <w:jc w:val="both"/>
        <w:rPr>
          <w:color w:val="000000"/>
        </w:rPr>
      </w:pPr>
      <w:r>
        <w:rPr>
          <w:color w:val="000000"/>
          <w:highlight w:val="white"/>
        </w:rPr>
        <w:t xml:space="preserve">C’est pourquoi je ne pense pas que </w:t>
      </w:r>
      <w:r>
        <w:rPr>
          <w:color w:val="000000"/>
        </w:rPr>
        <w:t xml:space="preserve">le ressenti, si puissant soit-il, puisse être un élément d’identification, et donc d’identité, qu’il s’agisse du sexe remplacé par l’identité de genre ou des autres aspects de l’identité. </w:t>
      </w:r>
    </w:p>
    <w:p w14:paraId="29FCD908" w14:textId="77777777" w:rsidR="00956703" w:rsidRDefault="00B71856">
      <w:pPr>
        <w:spacing w:after="120" w:line="264" w:lineRule="auto"/>
        <w:jc w:val="both"/>
        <w:rPr>
          <w:color w:val="000000"/>
        </w:rPr>
      </w:pPr>
      <w:r>
        <w:rPr>
          <w:color w:val="000000"/>
        </w:rPr>
        <w:t xml:space="preserve">Cela ne signifie pas que ces ressentis, pour ce qui nous concerne maintenant l’identité de genre, doivent être ignorés, ni ne puissent avoir aucune expression dans l’espace social, mais je pense seulement à ce stade de la discussion que le ressenti n’est pas de l’ordre de l’identité. </w:t>
      </w:r>
    </w:p>
    <w:p w14:paraId="29FCD909" w14:textId="77777777" w:rsidR="00956703" w:rsidRDefault="00956703">
      <w:pPr>
        <w:spacing w:after="120" w:line="264" w:lineRule="auto"/>
        <w:jc w:val="both"/>
        <w:rPr>
          <w:color w:val="000000"/>
          <w:highlight w:val="white"/>
        </w:rPr>
      </w:pPr>
    </w:p>
    <w:p w14:paraId="29FCD90A" w14:textId="77777777" w:rsidR="00956703" w:rsidRDefault="00B71856">
      <w:pPr>
        <w:pBdr>
          <w:top w:val="nil"/>
          <w:left w:val="nil"/>
          <w:bottom w:val="nil"/>
          <w:right w:val="nil"/>
          <w:between w:val="nil"/>
        </w:pBdr>
        <w:spacing w:after="120" w:line="264" w:lineRule="auto"/>
        <w:jc w:val="both"/>
        <w:rPr>
          <w:color w:val="000000"/>
        </w:rPr>
      </w:pPr>
      <w:r>
        <w:rPr>
          <w:color w:val="000000"/>
        </w:rPr>
        <w:t>C’est encore plus vrai concernant les mineurs dès lors que l’enfant et l’adolescent sont des êtres en construction, en développement.</w:t>
      </w:r>
    </w:p>
    <w:p w14:paraId="29FCD90B" w14:textId="77777777" w:rsidR="00956703" w:rsidRDefault="00B71856">
      <w:pPr>
        <w:spacing w:after="120" w:line="264" w:lineRule="auto"/>
        <w:jc w:val="both"/>
        <w:rPr>
          <w:color w:val="000000"/>
        </w:rPr>
      </w:pPr>
      <w:r>
        <w:rPr>
          <w:color w:val="000000"/>
        </w:rPr>
        <w:t xml:space="preserve">Attribuer à un mineur une identité de genre risque de figer le jeune dans le ressenti qui est le sien à un instant T, même si ce T peut durer, alors que par définition ce jeune est dans une période évolutive, de construction. </w:t>
      </w:r>
    </w:p>
    <w:p w14:paraId="29FCD90C"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Je préfère donc parler d’enfants et d’adolescents en questionnement de genre, plutôt que de mineur transgenre car cela fige le jeune dans un ressenti qui peut être provisoire. </w:t>
      </w:r>
    </w:p>
    <w:p w14:paraId="29FCD90D" w14:textId="77777777" w:rsidR="00956703" w:rsidRDefault="00956703">
      <w:pPr>
        <w:pBdr>
          <w:top w:val="nil"/>
          <w:left w:val="nil"/>
          <w:bottom w:val="nil"/>
          <w:right w:val="nil"/>
          <w:between w:val="nil"/>
        </w:pBdr>
        <w:spacing w:after="120" w:line="264" w:lineRule="auto"/>
        <w:jc w:val="both"/>
        <w:rPr>
          <w:color w:val="000000"/>
        </w:rPr>
      </w:pPr>
    </w:p>
    <w:p w14:paraId="29FCD90E"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C’est pourquoi la transition sociale est elle-même à mon sens susceptible de constituer un piège pour l’enfant car elle risque de l’enfermer dans un ressenti qui n’est pas forcément clair pour lui-même, qui est peut-être l’expression de quelque chose d’autre, et qui a de fortes chances d’évoluer. Le jeune en transition sociale peut bien sûr revenir à son sexe biologique, mais ce sera plus difficile. </w:t>
      </w:r>
    </w:p>
    <w:p w14:paraId="29FCD90F"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Quant à la transition médicale, elle n’est pas réversible, en tout cas pas totalement. </w:t>
      </w:r>
    </w:p>
    <w:p w14:paraId="29FCD910" w14:textId="77777777" w:rsidR="00956703" w:rsidRDefault="00B71856">
      <w:pPr>
        <w:pBdr>
          <w:top w:val="nil"/>
          <w:left w:val="nil"/>
          <w:bottom w:val="nil"/>
          <w:right w:val="nil"/>
          <w:between w:val="nil"/>
        </w:pBdr>
        <w:spacing w:after="120" w:line="264" w:lineRule="auto"/>
        <w:jc w:val="both"/>
        <w:rPr>
          <w:color w:val="000000"/>
        </w:rPr>
      </w:pPr>
      <w:r>
        <w:rPr>
          <w:color w:val="000000"/>
        </w:rPr>
        <w:lastRenderedPageBreak/>
        <w:t xml:space="preserve">Si vraiment on pense que chacun a une affirmation de genre à faire, la prudence invite à maintenir cette possibilité de choisir : l’enfant est en construction, il convient à tout le moins d’attendre qu’il ait fini cette construction, pendant laquelle il a en outre une possibilité de mettre son identité de genre en conformité avec son sexe, ce qui lui évitera la médicalisation. </w:t>
      </w:r>
    </w:p>
    <w:p w14:paraId="1BC278C9" w14:textId="77777777" w:rsidR="007F7EA7" w:rsidRDefault="007F7EA7">
      <w:pPr>
        <w:pBdr>
          <w:top w:val="nil"/>
          <w:left w:val="nil"/>
          <w:bottom w:val="nil"/>
          <w:right w:val="nil"/>
          <w:between w:val="nil"/>
        </w:pBdr>
        <w:spacing w:after="120" w:line="264" w:lineRule="auto"/>
        <w:jc w:val="both"/>
        <w:rPr>
          <w:color w:val="000000"/>
        </w:rPr>
      </w:pPr>
    </w:p>
    <w:p w14:paraId="29FCD911" w14:textId="77777777" w:rsidR="00956703" w:rsidRDefault="00B71856">
      <w:pPr>
        <w:jc w:val="both"/>
        <w:rPr>
          <w:b/>
          <w:bCs/>
        </w:rPr>
      </w:pPr>
      <w:r>
        <w:rPr>
          <w:b/>
          <w:bCs/>
        </w:rPr>
        <w:t xml:space="preserve">Benjamin Moron-Puech </w:t>
      </w:r>
      <w:r>
        <w:t>: Nous sommes donc d’accord sur l’emploi du mot genre !</w:t>
      </w:r>
    </w:p>
    <w:p w14:paraId="29FCD912" w14:textId="77777777" w:rsidR="00956703" w:rsidRDefault="00B71856">
      <w:pPr>
        <w:spacing w:before="240" w:after="240"/>
        <w:jc w:val="both"/>
      </w:pPr>
      <w:r>
        <w:t>Sur l’identité de genre, si on se limite au ressenti, il y a un problème.</w:t>
      </w:r>
      <w:r>
        <w:br/>
        <w:t>Pour éviter cela, il faut ajouter l’</w:t>
      </w:r>
      <w:r>
        <w:rPr>
          <w:i/>
          <w:iCs/>
        </w:rPr>
        <w:t>expression</w:t>
      </w:r>
      <w:r>
        <w:t xml:space="preserve"> de genre comme le fait la mise à jour des principes de </w:t>
      </w:r>
      <w:proofErr w:type="spellStart"/>
      <w:r>
        <w:t>Yoyakarta</w:t>
      </w:r>
      <w:proofErr w:type="spellEnd"/>
      <w:r>
        <w:t xml:space="preserve"> que tu as cité précédemment.</w:t>
      </w:r>
    </w:p>
    <w:p w14:paraId="29FCD913" w14:textId="77777777" w:rsidR="00956703" w:rsidRDefault="00B71856">
      <w:pPr>
        <w:spacing w:before="240" w:after="240"/>
        <w:jc w:val="both"/>
      </w:pPr>
      <w:r>
        <w:t>La mention de sexe à l’état civil est par exemple une expression officielle du genre.</w:t>
      </w:r>
      <w:r>
        <w:br/>
        <w:t>Un ressenti exprimé et extériorisé peut être juridiquement pris en compte.</w:t>
      </w:r>
    </w:p>
    <w:p w14:paraId="29FCD914" w14:textId="77777777" w:rsidR="00956703" w:rsidRDefault="00B71856">
      <w:pPr>
        <w:spacing w:before="240" w:after="240"/>
        <w:jc w:val="both"/>
      </w:pPr>
      <w:r>
        <w:t xml:space="preserve">Par ailleurs, même dans un système d’autodétermination de genre, il restera possible de la contester devant un juge </w:t>
      </w:r>
      <w:r>
        <w:rPr>
          <w:i/>
          <w:iCs/>
        </w:rPr>
        <w:t>a posteriori</w:t>
      </w:r>
      <w:r>
        <w:t>, par exemple en cas de fraude, de sorte qu’on n’est pas dans l’arbitraire du juge.</w:t>
      </w:r>
    </w:p>
    <w:p w14:paraId="29FCD915" w14:textId="77777777" w:rsidR="00956703" w:rsidRDefault="00B71856">
      <w:pPr>
        <w:spacing w:before="240" w:after="240"/>
        <w:jc w:val="both"/>
      </w:pPr>
      <w:r>
        <w:t xml:space="preserve">Dans ces conditions le parallèle tracé avec l’âge ne me paraît pas adéquat. </w:t>
      </w:r>
    </w:p>
    <w:p w14:paraId="29FCD916" w14:textId="77777777" w:rsidR="00956703" w:rsidRDefault="00B71856">
      <w:pPr>
        <w:spacing w:before="240" w:after="240"/>
        <w:jc w:val="both"/>
      </w:pPr>
      <w:r>
        <w:t>Quant à la filiation, j’observe que le ressenti de l’enfant est de plus en plus pris en compte via la notion d’intérêt supérieur.</w:t>
      </w:r>
    </w:p>
    <w:p w14:paraId="29FCD918" w14:textId="27F5562A" w:rsidR="00956703" w:rsidRDefault="00B71856" w:rsidP="00F76E34">
      <w:pPr>
        <w:spacing w:before="240" w:after="240"/>
        <w:jc w:val="both"/>
        <w:rPr>
          <w:b/>
          <w:bCs/>
          <w:color w:val="000000"/>
        </w:rPr>
      </w:pPr>
      <w:r>
        <w:t>Enfin, sur l’emploi de l’expression « </w:t>
      </w:r>
      <w:proofErr w:type="spellStart"/>
      <w:r>
        <w:t>mineurz</w:t>
      </w:r>
      <w:proofErr w:type="spellEnd"/>
      <w:r w:rsidR="00387550">
        <w:t>*</w:t>
      </w:r>
      <w:r>
        <w:t xml:space="preserve"> transgenres », pour moi, il existe des personnes mineures transgenres, comme il existe des mineurs en questionnement. Je me refuse donc à parler systématiquement de mineurs en questionnement de genre.</w:t>
      </w:r>
      <w:r>
        <w:br w:type="page"/>
      </w:r>
    </w:p>
    <w:p w14:paraId="29FCD919" w14:textId="76DF9347" w:rsidR="00956703" w:rsidRDefault="007054EB">
      <w:pPr>
        <w:jc w:val="both"/>
      </w:pPr>
      <w:r>
        <w:rPr>
          <w:b/>
          <w:bCs/>
          <w:color w:val="000000"/>
        </w:rPr>
        <w:lastRenderedPageBreak/>
        <w:t xml:space="preserve">Laurence </w:t>
      </w:r>
      <w:proofErr w:type="spellStart"/>
      <w:r>
        <w:rPr>
          <w:b/>
          <w:bCs/>
          <w:color w:val="000000"/>
        </w:rPr>
        <w:t>Francoz</w:t>
      </w:r>
      <w:proofErr w:type="spellEnd"/>
      <w:r w:rsidR="0054423A">
        <w:rPr>
          <w:b/>
          <w:bCs/>
          <w:color w:val="000000"/>
        </w:rPr>
        <w:t xml:space="preserve"> </w:t>
      </w:r>
      <w:r>
        <w:rPr>
          <w:b/>
          <w:bCs/>
          <w:color w:val="000000"/>
        </w:rPr>
        <w:t>Terminal</w:t>
      </w:r>
      <w:r w:rsidR="00B71856">
        <w:rPr>
          <w:b/>
          <w:bCs/>
          <w:color w:val="000000"/>
        </w:rPr>
        <w:t xml:space="preserve"> : Enfin, concernant le </w:t>
      </w:r>
      <w:r w:rsidR="0054423A">
        <w:rPr>
          <w:b/>
          <w:bCs/>
          <w:color w:val="000000"/>
        </w:rPr>
        <w:t>troisième</w:t>
      </w:r>
      <w:r w:rsidR="00B71856">
        <w:rPr>
          <w:b/>
          <w:bCs/>
          <w:color w:val="000000"/>
        </w:rPr>
        <w:t xml:space="preserve"> désaccord, portant sur le droit, pourriez-vous nous expliquer pourquoi le droit </w:t>
      </w:r>
      <w:r w:rsidR="0054423A">
        <w:rPr>
          <w:b/>
          <w:bCs/>
          <w:color w:val="000000"/>
        </w:rPr>
        <w:t xml:space="preserve">français </w:t>
      </w:r>
      <w:r w:rsidR="00B71856">
        <w:rPr>
          <w:b/>
          <w:bCs/>
          <w:color w:val="000000"/>
        </w:rPr>
        <w:t xml:space="preserve">actuel </w:t>
      </w:r>
      <w:r w:rsidR="0054423A">
        <w:rPr>
          <w:b/>
          <w:bCs/>
          <w:color w:val="000000"/>
        </w:rPr>
        <w:t>vous paraît insatisfaisant et le cas échéant sur quels points en particulier, et ce qu’il faudrait dès lors changer à vos yeux ?</w:t>
      </w:r>
    </w:p>
    <w:p w14:paraId="29FCD91A" w14:textId="77777777" w:rsidR="00956703" w:rsidRDefault="00956703">
      <w:pPr>
        <w:spacing w:after="120" w:line="264" w:lineRule="auto"/>
        <w:jc w:val="both"/>
        <w:rPr>
          <w:b/>
          <w:bCs/>
        </w:rPr>
      </w:pPr>
    </w:p>
    <w:p w14:paraId="29FCD91B" w14:textId="77777777" w:rsidR="00956703" w:rsidRDefault="00B71856">
      <w:pPr>
        <w:spacing w:after="120" w:line="264" w:lineRule="auto"/>
        <w:jc w:val="both"/>
        <w:rPr>
          <w:b/>
          <w:bCs/>
        </w:rPr>
      </w:pPr>
      <w:r>
        <w:rPr>
          <w:b/>
          <w:bCs/>
        </w:rPr>
        <w:t xml:space="preserve">Benjamin Moron-Puech </w:t>
      </w:r>
      <w:r>
        <w:t>: Je propose une refonte du droit commun de la décision médicale, sans exceptionnalisme, c’est-à-dire sans disposition spéciale pour les personnes mineures transgenres. La place laissée à l’enfant dans les décisions médicales n’est pas suffisante au regard des exigences du droit international et notamment de la Convention internationale des droits de l’enfant. L’enfant ne peut pas être à la merci de parents qui refusent de comprendre et d’accepter la transidentité de leur enfant. L’intérêt supérieur de l’enfant doit primer.</w:t>
      </w:r>
    </w:p>
    <w:p w14:paraId="29FCD91C" w14:textId="77777777" w:rsidR="00956703" w:rsidRDefault="00B71856">
      <w:pPr>
        <w:spacing w:before="240" w:after="240" w:line="264" w:lineRule="auto"/>
        <w:jc w:val="both"/>
      </w:pPr>
      <w:r>
        <w:t>Voilà pourquoi j’estime qu’il faut renforcer l’autonomie décisionnelle des mineurs sur la base du discernement, apprécié au cas par cas.</w:t>
      </w:r>
    </w:p>
    <w:p w14:paraId="29FCD91D" w14:textId="77777777" w:rsidR="00956703" w:rsidRDefault="00B71856">
      <w:pPr>
        <w:spacing w:before="240" w:after="240" w:line="264" w:lineRule="auto"/>
        <w:jc w:val="both"/>
      </w:pPr>
      <w:r>
        <w:t>On peut s’inspirer des règles proposées au Québec</w:t>
      </w:r>
      <w:r>
        <w:rPr>
          <w:vertAlign w:val="superscript"/>
        </w:rPr>
        <w:footnoteReference w:id="10"/>
      </w:r>
      <w:r>
        <w:t xml:space="preserve"> ou du Conseil de l’Europe</w:t>
      </w:r>
      <w:r>
        <w:rPr>
          <w:vertAlign w:val="superscript"/>
        </w:rPr>
        <w:footnoteReference w:id="11"/>
      </w:r>
      <w:r>
        <w:t xml:space="preserve"> pour la place de la personne mineure dans les décisions médicales le concernant, ou encore transposer aux personnes mineures les règles applicables aux personnes majeures protégées, où la notion d’</w:t>
      </w:r>
      <w:r>
        <w:rPr>
          <w:i/>
          <w:iCs/>
        </w:rPr>
        <w:t>acte strictement personnel</w:t>
      </w:r>
      <w:r>
        <w:t xml:space="preserve"> (art. 458 c. civ. français) leur permet de disposer d’une autonomie décisionnelle minimale pour des décisions de l’ordre de celles relatives à aux soins d’affirmation de genre.</w:t>
      </w:r>
    </w:p>
    <w:p w14:paraId="29FCD91E" w14:textId="77777777" w:rsidR="00956703" w:rsidRDefault="00B71856">
      <w:pPr>
        <w:spacing w:before="240" w:after="240" w:line="264" w:lineRule="auto"/>
        <w:jc w:val="both"/>
      </w:pPr>
      <w:r>
        <w:t>Il conviendrait également de clarifier les procédures de consentement dans le code de la santé publique : vérification, répétition, compréhension.</w:t>
      </w:r>
    </w:p>
    <w:p w14:paraId="29FCD91F" w14:textId="77777777" w:rsidR="00956703" w:rsidRDefault="00B71856">
      <w:pPr>
        <w:spacing w:before="240" w:after="240" w:line="264" w:lineRule="auto"/>
        <w:jc w:val="both"/>
      </w:pPr>
      <w:r>
        <w:t>Je crois fondamentalement à la capacité des personnes mineures à décider si on leur en donne les moyens.</w:t>
      </w:r>
    </w:p>
    <w:p w14:paraId="29FCD920" w14:textId="77777777" w:rsidR="00956703" w:rsidRDefault="00B71856">
      <w:pPr>
        <w:spacing w:before="240" w:after="240" w:line="264" w:lineRule="auto"/>
        <w:jc w:val="both"/>
        <w:rPr>
          <w:b/>
          <w:bCs/>
        </w:rPr>
      </w:pPr>
      <w:r>
        <w:rPr>
          <w:b/>
          <w:bCs/>
        </w:rPr>
        <w:t>Aude Mirkovic </w:t>
      </w:r>
      <w:r>
        <w:t xml:space="preserve">: </w:t>
      </w:r>
      <w:r>
        <w:rPr>
          <w:color w:val="000000"/>
        </w:rPr>
        <w:t xml:space="preserve">Je pense que le droit actuel, et notamment l’article 16-3 du code civil, devrait suffire à faire obstacle aux transitions médicales sur les mineurs. </w:t>
      </w:r>
    </w:p>
    <w:p w14:paraId="29FCD921" w14:textId="2E69FB65" w:rsidR="00956703" w:rsidRDefault="00B71856">
      <w:pPr>
        <w:spacing w:after="120" w:line="264" w:lineRule="auto"/>
        <w:jc w:val="both"/>
        <w:rPr>
          <w:color w:val="000000"/>
        </w:rPr>
      </w:pPr>
      <w:r>
        <w:rPr>
          <w:color w:val="000000"/>
        </w:rPr>
        <w:t xml:space="preserve">En effet, les traitements hormonaux administrés en vue de modifier l’apparence du corps et, </w:t>
      </w:r>
      <w:r w:rsidR="00E67B60">
        <w:rPr>
          <w:color w:val="000000"/>
        </w:rPr>
        <w:t>a</w:t>
      </w:r>
      <w:r>
        <w:rPr>
          <w:color w:val="000000"/>
        </w:rPr>
        <w:t xml:space="preserve"> fortiori, les actes chirurgicaux constituent des atteintes à l’intégrité du corps humain. </w:t>
      </w:r>
    </w:p>
    <w:p w14:paraId="29FCD922" w14:textId="77777777" w:rsidR="00956703" w:rsidRDefault="00B71856">
      <w:pPr>
        <w:spacing w:after="120" w:line="264" w:lineRule="auto"/>
        <w:jc w:val="both"/>
        <w:rPr>
          <w:color w:val="000000"/>
        </w:rPr>
      </w:pPr>
      <w:r>
        <w:rPr>
          <w:color w:val="000000"/>
        </w:rPr>
        <w:t xml:space="preserve">Ils doivent donc respecter les 2 conditions posées par l’article 16-3 : </w:t>
      </w:r>
    </w:p>
    <w:p w14:paraId="29FCD923" w14:textId="77777777" w:rsidR="00956703" w:rsidRDefault="00B71856">
      <w:pPr>
        <w:numPr>
          <w:ilvl w:val="0"/>
          <w:numId w:val="1"/>
        </w:numPr>
        <w:pBdr>
          <w:top w:val="nil"/>
          <w:left w:val="nil"/>
          <w:bottom w:val="nil"/>
          <w:right w:val="nil"/>
          <w:between w:val="nil"/>
        </w:pBdr>
        <w:spacing w:line="264" w:lineRule="auto"/>
        <w:jc w:val="both"/>
        <w:rPr>
          <w:color w:val="000000"/>
        </w:rPr>
      </w:pPr>
      <w:r>
        <w:rPr>
          <w:color w:val="000000"/>
        </w:rPr>
        <w:t>Une nécessité médicale pour la personne</w:t>
      </w:r>
    </w:p>
    <w:p w14:paraId="29FCD924" w14:textId="77777777" w:rsidR="00956703" w:rsidRDefault="00B71856">
      <w:pPr>
        <w:numPr>
          <w:ilvl w:val="0"/>
          <w:numId w:val="1"/>
        </w:numPr>
        <w:pBdr>
          <w:top w:val="nil"/>
          <w:left w:val="nil"/>
          <w:bottom w:val="nil"/>
          <w:right w:val="nil"/>
          <w:between w:val="nil"/>
        </w:pBdr>
        <w:spacing w:after="120" w:line="264" w:lineRule="auto"/>
        <w:jc w:val="both"/>
        <w:rPr>
          <w:color w:val="000000"/>
        </w:rPr>
      </w:pPr>
      <w:r>
        <w:rPr>
          <w:color w:val="000000"/>
        </w:rPr>
        <w:t xml:space="preserve">Le consentement de l’intéressé. </w:t>
      </w:r>
    </w:p>
    <w:p w14:paraId="29FCD925" w14:textId="77777777" w:rsidR="00956703" w:rsidRDefault="00956703">
      <w:pPr>
        <w:pBdr>
          <w:top w:val="nil"/>
          <w:left w:val="nil"/>
          <w:bottom w:val="nil"/>
          <w:right w:val="nil"/>
          <w:between w:val="nil"/>
        </w:pBdr>
        <w:spacing w:after="120" w:line="264" w:lineRule="auto"/>
        <w:jc w:val="both"/>
        <w:rPr>
          <w:color w:val="000000"/>
        </w:rPr>
      </w:pPr>
    </w:p>
    <w:p w14:paraId="29FCD926" w14:textId="77777777" w:rsidR="00956703" w:rsidRDefault="00B71856">
      <w:pPr>
        <w:spacing w:after="120" w:line="264" w:lineRule="auto"/>
        <w:jc w:val="both"/>
        <w:rPr>
          <w:color w:val="000000"/>
        </w:rPr>
      </w:pPr>
      <w:r>
        <w:rPr>
          <w:color w:val="000000"/>
        </w:rPr>
        <w:t>1/ La nécessité médicale n’est pas définie par la loi. Pour les opérations chirurgicales, le Code de la santé publique précise qu</w:t>
      </w:r>
      <w:proofErr w:type="gramStart"/>
      <w:r>
        <w:rPr>
          <w:color w:val="000000"/>
        </w:rPr>
        <w:t>’«</w:t>
      </w:r>
      <w:proofErr w:type="gramEnd"/>
      <w:r>
        <w:rPr>
          <w:color w:val="000000"/>
        </w:rPr>
        <w:t> Aucune intervention mutilante ne peut être pratiquée sans motif médical très sérieux…».</w:t>
      </w:r>
    </w:p>
    <w:p w14:paraId="29FCD927" w14:textId="6E77CAA8" w:rsidR="00956703" w:rsidRDefault="00B71856">
      <w:pPr>
        <w:pStyle w:val="Titre2"/>
        <w:spacing w:before="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Il convient de s</w:t>
      </w:r>
      <w:r w:rsidR="00E67B6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interroger car, si les mêmes gestes étaient demandés en raison d’un intense mal-être lié à un membre, mais en dehors d’une situation d’affirmation de genre, ils seraient illégaux.</w:t>
      </w:r>
    </w:p>
    <w:p w14:paraId="29FCD928" w14:textId="77777777" w:rsidR="00956703" w:rsidRDefault="00B71856">
      <w:pPr>
        <w:pStyle w:val="Titre2"/>
        <w:spacing w:before="0" w:after="12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Ceci n’a rien de théorique car certaines personnes ressentent le besoin irrépressible de se défaire d’un ou plusieurs de leurs membres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Un chirurgien britannique a ainsi récemment simulé une septicémie pour se faire amputer</w:t>
      </w:r>
      <w:r>
        <w:rPr>
          <w:rFonts w:ascii="Times New Roman" w:eastAsia="Times New Roman" w:hAnsi="Times New Roman" w:cs="Times New Roman"/>
          <w:color w:val="000000"/>
          <w:sz w:val="24"/>
          <w:szCs w:val="24"/>
          <w:highlight w:val="white"/>
          <w:vertAlign w:val="superscript"/>
        </w:rPr>
        <w:footnoteReference w:id="12"/>
      </w:r>
      <w:r>
        <w:rPr>
          <w:rFonts w:ascii="Times New Roman" w:eastAsia="Times New Roman" w:hAnsi="Times New Roman" w:cs="Times New Roman"/>
          <w:color w:val="000000"/>
          <w:sz w:val="24"/>
          <w:szCs w:val="24"/>
        </w:rPr>
        <w:t xml:space="preserve">. </w:t>
      </w:r>
    </w:p>
    <w:p w14:paraId="29FCD929" w14:textId="77777777" w:rsidR="00956703" w:rsidRDefault="00B71856">
      <w:pPr>
        <w:spacing w:after="120" w:line="264" w:lineRule="auto"/>
        <w:jc w:val="both"/>
        <w:rPr>
          <w:color w:val="000000"/>
        </w:rPr>
      </w:pPr>
      <w:r>
        <w:rPr>
          <w:color w:val="000000"/>
        </w:rPr>
        <w:t>Lorsqu’une personne exprime un ressenti en contradiction avec sa morphologie, jusqu’à quel point la transformation de son corps relève-t-elle de la nécessité médicale ?  Celle-ci est d’autant plus incertaine dans le contexte que nous connaissons de</w:t>
      </w:r>
      <w:r>
        <w:rPr>
          <w:color w:val="000000"/>
          <w:highlight w:val="white"/>
        </w:rPr>
        <w:t xml:space="preserve"> </w:t>
      </w:r>
      <w:proofErr w:type="spellStart"/>
      <w:r>
        <w:rPr>
          <w:color w:val="000000"/>
          <w:highlight w:val="white"/>
        </w:rPr>
        <w:t>dépsychiatrisation</w:t>
      </w:r>
      <w:proofErr w:type="spellEnd"/>
      <w:r>
        <w:rPr>
          <w:color w:val="000000"/>
          <w:highlight w:val="white"/>
        </w:rPr>
        <w:t xml:space="preserve"> puis maintenant de </w:t>
      </w:r>
      <w:proofErr w:type="spellStart"/>
      <w:r>
        <w:rPr>
          <w:color w:val="000000"/>
        </w:rPr>
        <w:t>dépsychopathologisation</w:t>
      </w:r>
      <w:proofErr w:type="spellEnd"/>
      <w:r>
        <w:rPr>
          <w:color w:val="000000"/>
        </w:rPr>
        <w:t xml:space="preserve"> des parcours de transition.</w:t>
      </w:r>
    </w:p>
    <w:p w14:paraId="29FCD92A"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Quoi qu’il en soit, l’article 16-3 a une valeur législative. La loi peut donc y déroger et elle le fait par exemple pour les opérations de chirurgie esthétique (article L. 6322-1 et s. CSP), ou la stérilisation (définitive non thérapeutique). Cependant, pour qu’une atteinte à l’intégrité du corps sans nécessité médicale soit légale, elle doit être prévue par la loi, ce qui n’est pas le cas des actes de réassignation sexuelle. La question demeure ouverte. </w:t>
      </w:r>
    </w:p>
    <w:p w14:paraId="29FCD92B" w14:textId="77777777" w:rsidR="00956703" w:rsidRDefault="00B71856">
      <w:pPr>
        <w:spacing w:after="120" w:line="264" w:lineRule="auto"/>
        <w:jc w:val="both"/>
        <w:rPr>
          <w:color w:val="000000"/>
          <w:highlight w:val="white"/>
        </w:rPr>
      </w:pPr>
      <w:r>
        <w:rPr>
          <w:color w:val="000000"/>
        </w:rPr>
        <w:t xml:space="preserve">2/ S’agissant du consentement, rappelons </w:t>
      </w:r>
      <w:r>
        <w:rPr>
          <w:color w:val="000000"/>
          <w:highlight w:val="white"/>
        </w:rPr>
        <w:t>que p</w:t>
      </w:r>
      <w:r>
        <w:rPr>
          <w:color w:val="000000"/>
        </w:rPr>
        <w:t>our les mineurs, le consentement est donné par les parents, l</w:t>
      </w:r>
      <w:r>
        <w:rPr>
          <w:color w:val="000000"/>
          <w:highlight w:val="white"/>
        </w:rPr>
        <w:t>e consentement du mineur devant être systématiquement recherché s'il est apte à exprimer sa volonté et à participer à la décision.</w:t>
      </w:r>
    </w:p>
    <w:p w14:paraId="29FCD92C" w14:textId="77777777" w:rsidR="00956703" w:rsidRDefault="00B71856">
      <w:pPr>
        <w:spacing w:after="120" w:line="264" w:lineRule="auto"/>
        <w:jc w:val="both"/>
        <w:rPr>
          <w:color w:val="000000"/>
          <w:highlight w:val="white"/>
        </w:rPr>
      </w:pPr>
      <w:r>
        <w:rPr>
          <w:color w:val="000000"/>
          <w:highlight w:val="white"/>
        </w:rPr>
        <w:t xml:space="preserve">Pour tous, les parents comme l’enfant, le consentement éclairé suppose une information juste et complète, ce qui inclut l’information sur les alternatives. </w:t>
      </w:r>
      <w:r>
        <w:rPr>
          <w:color w:val="000000"/>
        </w:rPr>
        <w:t xml:space="preserve">Or l’alternative, la prise en charge psychothérapeutique, qui vise à aider la personne à vivre avec son corps plutôt qu’à transformer son corps, n’est presque plus proposée. </w:t>
      </w:r>
      <w:r>
        <w:rPr>
          <w:color w:val="000000"/>
          <w:highlight w:val="white"/>
        </w:rPr>
        <w:t xml:space="preserve">Le traitement hormonal est en général présenté comme la seule possibilité. Sachant que les parents subissent en outre la pression de leur enfant, parfois la menace du suicide de leur enfant, les conditions d’un consentement libre et éclairé ne sont pas garanties en ce qui les concerne. </w:t>
      </w:r>
    </w:p>
    <w:p w14:paraId="29FCD92D" w14:textId="77777777" w:rsidR="00956703" w:rsidRDefault="00B71856">
      <w:pPr>
        <w:spacing w:after="120" w:line="264" w:lineRule="auto"/>
        <w:jc w:val="both"/>
        <w:rPr>
          <w:color w:val="000000"/>
        </w:rPr>
      </w:pPr>
      <w:r>
        <w:rPr>
          <w:color w:val="000000"/>
        </w:rPr>
        <w:t xml:space="preserve">Quant au mineur lui-même, une information de qualité peut lui être donnée : ce qui est en cause, c’est sa capacité à la recevoir car il n’a pas d’expérience de ce dont on lui parle : la sexualité, la procréation. Une fille de 16 ans peut être convaincue qu’elle ne veut pas d’enfants et encore moins les allaiter, cela ne signifie pas qu’elle réalise ce que cela signifie. </w:t>
      </w:r>
    </w:p>
    <w:p w14:paraId="29FCD92E" w14:textId="77777777" w:rsidR="00956703" w:rsidRDefault="00B71856">
      <w:pPr>
        <w:spacing w:after="120" w:line="264" w:lineRule="auto"/>
        <w:jc w:val="both"/>
        <w:rPr>
          <w:color w:val="000000"/>
        </w:rPr>
      </w:pPr>
      <w:r>
        <w:rPr>
          <w:color w:val="000000"/>
        </w:rPr>
        <w:t xml:space="preserve">C’est pourquoi le « consentement » de l’enfant, par définition compromis par son immaturité et insuffisant d’un point de vue légal, ne libère pas les adultes de leur responsabilité propre, et en premier lieu les médecins. </w:t>
      </w:r>
    </w:p>
    <w:p w14:paraId="29FCD92F" w14:textId="77777777" w:rsidR="00956703" w:rsidRDefault="00956703">
      <w:pPr>
        <w:spacing w:after="120" w:line="264" w:lineRule="auto"/>
        <w:jc w:val="both"/>
        <w:rPr>
          <w:color w:val="000000"/>
        </w:rPr>
      </w:pPr>
    </w:p>
    <w:p w14:paraId="29FCD930" w14:textId="77777777" w:rsidR="00956703" w:rsidRDefault="00B71856">
      <w:pPr>
        <w:pBdr>
          <w:top w:val="nil"/>
          <w:left w:val="nil"/>
          <w:bottom w:val="nil"/>
          <w:right w:val="nil"/>
          <w:between w:val="nil"/>
        </w:pBdr>
        <w:spacing w:after="120" w:line="264" w:lineRule="auto"/>
        <w:jc w:val="both"/>
        <w:rPr>
          <w:color w:val="000000"/>
        </w:rPr>
      </w:pPr>
      <w:r>
        <w:rPr>
          <w:color w:val="000000"/>
        </w:rPr>
        <w:t xml:space="preserve">En pratique, il semble que les principes généraux posés par l’article 16-3 ne soient pas suffisants puisque les transitions médicales sont pratiquées en France sur les mineurs. </w:t>
      </w:r>
    </w:p>
    <w:p w14:paraId="29FCD931" w14:textId="77777777" w:rsidR="00956703" w:rsidRDefault="00B71856">
      <w:pPr>
        <w:pBdr>
          <w:top w:val="nil"/>
          <w:left w:val="nil"/>
          <w:bottom w:val="nil"/>
          <w:right w:val="nil"/>
          <w:between w:val="nil"/>
        </w:pBdr>
        <w:spacing w:after="120" w:line="264" w:lineRule="auto"/>
        <w:jc w:val="both"/>
        <w:rPr>
          <w:color w:val="000000"/>
        </w:rPr>
      </w:pPr>
      <w:r>
        <w:rPr>
          <w:color w:val="000000"/>
        </w:rPr>
        <w:t>C’est pourquoi il conviendrait :</w:t>
      </w:r>
    </w:p>
    <w:p w14:paraId="29FCD932" w14:textId="77777777" w:rsidR="00956703" w:rsidRDefault="00B71856">
      <w:pPr>
        <w:numPr>
          <w:ilvl w:val="0"/>
          <w:numId w:val="2"/>
        </w:numPr>
        <w:pBdr>
          <w:top w:val="nil"/>
          <w:left w:val="nil"/>
          <w:bottom w:val="nil"/>
          <w:right w:val="nil"/>
          <w:between w:val="nil"/>
        </w:pBdr>
        <w:spacing w:after="120" w:line="264" w:lineRule="auto"/>
        <w:jc w:val="both"/>
        <w:rPr>
          <w:color w:val="000000"/>
        </w:rPr>
      </w:pPr>
      <w:r>
        <w:rPr>
          <w:color w:val="000000"/>
        </w:rPr>
        <w:t xml:space="preserve">d’interdire explicitement les transitions médicales chez les mineurs d’une part, </w:t>
      </w:r>
    </w:p>
    <w:p w14:paraId="29FCD933" w14:textId="77777777" w:rsidR="00956703" w:rsidRDefault="00B71856">
      <w:pPr>
        <w:numPr>
          <w:ilvl w:val="0"/>
          <w:numId w:val="2"/>
        </w:numPr>
        <w:pBdr>
          <w:top w:val="nil"/>
          <w:left w:val="nil"/>
          <w:bottom w:val="nil"/>
          <w:right w:val="nil"/>
          <w:between w:val="nil"/>
        </w:pBdr>
        <w:spacing w:after="120" w:line="264" w:lineRule="auto"/>
        <w:jc w:val="both"/>
        <w:rPr>
          <w:color w:val="000000"/>
        </w:rPr>
      </w:pPr>
      <w:r>
        <w:rPr>
          <w:color w:val="000000"/>
        </w:rPr>
        <w:t xml:space="preserve">et de tenir compte d’autre part de la particulière vulnérabilité qui caractérise les jeunes adultes, entre 18 et 25 ans. </w:t>
      </w:r>
    </w:p>
    <w:p w14:paraId="29FCD934" w14:textId="77777777" w:rsidR="00956703" w:rsidRDefault="00956703">
      <w:pPr>
        <w:spacing w:after="120" w:line="264" w:lineRule="auto"/>
        <w:jc w:val="both"/>
        <w:rPr>
          <w:color w:val="000000"/>
        </w:rPr>
      </w:pPr>
    </w:p>
    <w:p w14:paraId="29FCD935" w14:textId="77777777" w:rsidR="00956703" w:rsidRDefault="00B71856">
      <w:pPr>
        <w:spacing w:after="120" w:line="264" w:lineRule="auto"/>
        <w:jc w:val="both"/>
        <w:rPr>
          <w:color w:val="000000"/>
        </w:rPr>
      </w:pPr>
      <w:r>
        <w:rPr>
          <w:color w:val="000000"/>
        </w:rPr>
        <w:t xml:space="preserve">La prudence du droit civil pourrait inspirer le droit médical : les mineurs ne peuvent initier un changement de la mention de leur sexe à l’état civil avant leur majorité, alors même que le changement à l’état civil n’est qu’une transition sociale, puisqu’aucun traitement médical n’est exigé : la même prudence semble de mise en ce qui concerne les aspects médicaux qui ont un impact direct et parfois irréversible sur le corps de l’intéressé. </w:t>
      </w:r>
    </w:p>
    <w:p w14:paraId="29FCD936" w14:textId="0182D796" w:rsidR="00956703" w:rsidRDefault="00B71856">
      <w:pPr>
        <w:spacing w:after="120" w:line="264" w:lineRule="auto"/>
        <w:jc w:val="both"/>
      </w:pPr>
      <w:r>
        <w:rPr>
          <w:b/>
          <w:bCs/>
        </w:rPr>
        <w:t>Benjamin Moron-Puech</w:t>
      </w:r>
      <w:r>
        <w:t xml:space="preserve"> : Je note, presque en aparté Aude, que la solution que tu proposes correspond exactement à celle que je défends pour les personnes intersexes : il s’agirait non pas de créer une règle dérogatoire, mais de corriger une mauvaise interprétation de la loi par l’adoption d’une loi spéciale venant renforcer le droit commun. J’espère donc que tu </w:t>
      </w:r>
      <w:r w:rsidR="007F7EA7">
        <w:t>soutiens</w:t>
      </w:r>
      <w:r>
        <w:t xml:space="preserve"> également cette approche pour les personnes intersexes !</w:t>
      </w:r>
    </w:p>
    <w:p w14:paraId="29FCD937" w14:textId="77777777" w:rsidR="00956703" w:rsidRDefault="00B71856">
      <w:pPr>
        <w:spacing w:after="120" w:line="264" w:lineRule="auto"/>
        <w:jc w:val="both"/>
      </w:pPr>
      <w:r>
        <w:t>Premièrement, tu évoques le cas d’un médecin qui accepterait d’amputer un patient uniquement en raison d’un intense mal-être sans maladie objective et tu utilises cela comme un argument pour dire qu’il faut contrôler la nécessité médicale sans quoi on arrive à des résultats non souhaitables. Je partage ton analyse : un tel mal-être ne saurait suffire pour caractériser la nécessité médicale. Il faut objectivement une maladie. C’est précisément pour cette raison que l’on procède encore souvent de nos jours à des diagnostics différentiels, afin de s’assurer que la personne disant souffrir de son genre assigné à la naissance est bien en souffrance en raison de sa transidentité et non d’autre chose. Je note au passage néanmoins que l’on peut aussi vérifier plus rigoureusement ce consentement pour s’assurer de la nécessité médicale. Le problème que tu soulèves pourrait donc, selon moi, être résolu par un contrôle renforcé du consentement éclairé comme je l’ai proposé et ainsi vérifier que la personne a de bonnes raisons pour demander des soins affirmatifs de genre et qu’elle en comprend pleinement les conséquences.</w:t>
      </w:r>
    </w:p>
    <w:p w14:paraId="29FCD938" w14:textId="77777777" w:rsidR="00956703" w:rsidRDefault="00B71856">
      <w:pPr>
        <w:spacing w:after="120" w:line="264" w:lineRule="auto"/>
        <w:jc w:val="both"/>
      </w:pPr>
      <w:r>
        <w:t>Deuxièmement, pour t’opposer à l’existence d’une nécessité médicale tu dis qu’on serait ici en présence uniquement d’un ressenti et tu suggères que ce ressenti ne devrait pas être pris en compte au titre de la nécessité médicale car il serait en contradiction avec la réalité physiologique de la personne. Toutefois, en disant cela, il me semble que tu biologises le genre en le mettant en lien avec la physiologie alors que, dans la conception dominante, le genre est psycho-social et non physiologique. Ce faisant, tu refuses la distinction sexe/genre (biologique/psycho-social) et nous ramènes à la position des personnes qui s’opposaient à la prise en charge de la transidentité dans les années 1970-1980, au motif que la transidentité serait un délire car on ne pourrait jamais changer de sexe, et que, comme tout délire, il ne faudrait absolument pas le renforcer par des actes de modifications corporelles, mais il faudrait au contraire le traiter par des soins psychiatriques. Simplement, là où hier on disait : « on ne peut jamais changer son sexe » ; tu nous dis aujourd’hui « on ne peut jamais changer son genre ». Néanmoins, cela, tu le dis pour les personnes mineures, du moins dans notre échange de ce jour. D’où ma question pour toi : est-ce que tu es prête à soutenir cet argument (« on ne peut jamais vraiment changer son genre/sexe ») aussi pour les adultes et du coup, est-ce que tu défends également l’arrêt des soins médicaux de transition de genre pour les adultes ? Car si l’on refuse qu’un ressenti puisse entrer en contradiction avec la réalité physiologique, il faudrait logiquement refuser toute transition, tant pour les personnes mineures que pour les adultes.</w:t>
      </w:r>
    </w:p>
    <w:p w14:paraId="29FCD939" w14:textId="206825A7" w:rsidR="00956703" w:rsidRDefault="00B71856">
      <w:pPr>
        <w:spacing w:after="120" w:line="264" w:lineRule="auto"/>
        <w:jc w:val="both"/>
      </w:pPr>
      <w:r>
        <w:t>Troisièmement, tu indiques que le traitement hormonal ne serait pas la seule option</w:t>
      </w:r>
      <w:r w:rsidR="00E67B60">
        <w:t>,</w:t>
      </w:r>
      <w:r>
        <w:t xml:space="preserve"> mais qu’il serait devenu la norme et tu ajoutes qu’on n’informe pas les famille</w:t>
      </w:r>
      <w:r w:rsidR="00E67B60">
        <w:t>s</w:t>
      </w:r>
      <w:r>
        <w:t xml:space="preserve"> sur les alternatives à ce </w:t>
      </w:r>
      <w:r>
        <w:lastRenderedPageBreak/>
        <w:t>traitement. Or, les chiffres que j’ai évoqués montrent des délais significatifs — environ 11 mois pour les bloqueurs de puberté, 14 mois pour certains traitements — ce qui laisse du temps pour la discussion, l’accompagnement et la vérification de la permanence de la volonté, et suggère au contraire que d’autres traitements que l’hormonothérapie sont proposés, en particulier l’accompagnement strictement psychologique. Ces données me semblent donc aller à l’encontre de ce que tu dis sur un consentement qui ne serait pas éclairé</w:t>
      </w:r>
      <w:r w:rsidR="00E67B60">
        <w:t>,</w:t>
      </w:r>
      <w:r>
        <w:t xml:space="preserve"> car précipité et biaisé.</w:t>
      </w:r>
    </w:p>
    <w:p w14:paraId="29FCD93A" w14:textId="77777777" w:rsidR="00956703" w:rsidRDefault="00B71856">
      <w:pPr>
        <w:spacing w:after="120" w:line="264" w:lineRule="auto"/>
        <w:jc w:val="both"/>
      </w:pPr>
      <w:r>
        <w:t xml:space="preserve">Enfin, tu soulignes la nécessité de protéger les enfants en raison de leur manque d’expérience de la vie, notamment concernant la sexualité et la procréation, d’où ton refus de toute médicalisation. Sur ce point, nous nous rejoignons en partie. Comme toi, je pense que tant qu’il n’y a pas d’expérience de la sexualité, il ne peut pas y avoir de consentement éclairé pour les chirurgies des organes génitaux. En revanche – et là nous nous séparons –, pour ce qui relève des autres aspects de leurs corps, lesquelles impactent les interactions sociales de ces jeunes (la manière dont on les genre au quotidien), les personnes mineurs en font l’expérience quotidienne et peuvent, à ce titre, être en mesure d’émettre un consentement éclairé sur tous les actes médicaux autres que la chirurgie des organes génitaux : soit l’hormonothérapie et la </w:t>
      </w:r>
      <w:proofErr w:type="spellStart"/>
      <w:r>
        <w:t>torsoplastie</w:t>
      </w:r>
      <w:proofErr w:type="spellEnd"/>
      <w:r>
        <w:t>. Je pense donc qu’un consentement éclairé est possible, tout comme je pensais tout à l’heure que l’exigence de nécessité médicale n’était pas impossible à caractériser, au contraire.</w:t>
      </w:r>
    </w:p>
    <w:p w14:paraId="29FCD93B" w14:textId="77777777" w:rsidR="00956703" w:rsidRDefault="00956703">
      <w:pPr>
        <w:spacing w:after="120" w:line="264" w:lineRule="auto"/>
        <w:jc w:val="both"/>
        <w:rPr>
          <w:b/>
          <w:bCs/>
        </w:rPr>
      </w:pPr>
    </w:p>
    <w:p w14:paraId="29FCD93C" w14:textId="77777777" w:rsidR="00956703" w:rsidRDefault="00B71856">
      <w:pPr>
        <w:spacing w:after="120" w:line="264" w:lineRule="auto"/>
        <w:jc w:val="both"/>
        <w:rPr>
          <w:b/>
          <w:bCs/>
        </w:rPr>
      </w:pPr>
      <w:r>
        <w:rPr>
          <w:b/>
          <w:bCs/>
        </w:rPr>
        <w:t>Aude Mirkovic </w:t>
      </w:r>
      <w:r>
        <w:t>: Il y a plusieurs éléments à distinguer. Le fait qu’il existe un délai de six à douze mois entre la première consultation hospitalière et la prescription de bloqueurs de puberté ne signifie absolument pas que l’on propose une prise en charge psychothérapeutique. Suivre un enfant pour vérifier la permanence de sa volonté dans le temps n’est pas équivalent à explorer d’éventuelles causes alternatives de son mal-être. Ce sont deux choses très différentes.</w:t>
      </w:r>
    </w:p>
    <w:p w14:paraId="29FCD93D" w14:textId="77777777" w:rsidR="00956703" w:rsidRDefault="00B71856">
      <w:pPr>
        <w:spacing w:after="120" w:line="264" w:lineRule="auto"/>
        <w:jc w:val="both"/>
      </w:pPr>
      <w:r>
        <w:t>Par ailleurs, tu me reproches de mobiliser des éléments biologiques et de « biologiser » le genre. Or, nous parlons ici de traitements médicaux qui interviennent sur un corps biologique. L’identité de genre ne s’exprime pas de manière désincarnée : la biologie est nécessairement impliquée. Si la biologie n’avait aucune importance, pourquoi recourir à des transitions médicales ?</w:t>
      </w:r>
    </w:p>
    <w:p w14:paraId="29FCD93E" w14:textId="13954347" w:rsidR="00956703" w:rsidRDefault="00B71856">
      <w:pPr>
        <w:spacing w:after="120" w:line="264" w:lineRule="auto"/>
        <w:jc w:val="both"/>
      </w:pPr>
      <w:r>
        <w:t>Je voudrais également revenir sur ta proposition de renforcer l’autonomie décisionnelle des mineurs. Favoriser l’autonomie est une saine ambition : l’éducation consiste précisément à accompagner l’enfant vers la capacité de prendre ses propres décisions. Mais ce processus s’inscrit dans la durée. Vouloir donner une grande autonomie décisionnelle étendue aux mineurs me semble généreux dans l’intention, mais inadapté dans ses effets, car cela fait peser sur des enfants et des adolescents des responsabilités qui ne sont pas de leur âge.</w:t>
      </w:r>
    </w:p>
    <w:p w14:paraId="29FCD93F" w14:textId="77777777" w:rsidR="00956703" w:rsidRDefault="00B71856">
      <w:pPr>
        <w:spacing w:after="120" w:line="264" w:lineRule="auto"/>
        <w:jc w:val="both"/>
      </w:pPr>
      <w:r>
        <w:t>Le temps de l’enfance est celui de l’insouciance, progressivement encadrée par les adultes. Sous couvert d’autonomie, on risque en réalité une démission de la responsabilité adulte. Or, le statut de minorité et la protection qu’il implique sont consacrés notamment par la Convention internationale des droits de l’enfant, et devraient au contraire être renforcés.</w:t>
      </w:r>
    </w:p>
    <w:p w14:paraId="29FCD940" w14:textId="77777777" w:rsidR="00956703" w:rsidRDefault="00B71856">
      <w:pPr>
        <w:rPr>
          <w:b/>
          <w:bCs/>
          <w:u w:val="single"/>
        </w:rPr>
      </w:pPr>
      <w:r>
        <w:br w:type="page"/>
      </w:r>
    </w:p>
    <w:p w14:paraId="29FCD941" w14:textId="77777777" w:rsidR="00956703" w:rsidRPr="007054EB" w:rsidRDefault="00B71856" w:rsidP="007054EB">
      <w:pPr>
        <w:spacing w:after="120" w:line="264" w:lineRule="auto"/>
        <w:jc w:val="center"/>
        <w:rPr>
          <w:smallCaps/>
        </w:rPr>
      </w:pPr>
      <w:r w:rsidRPr="007054EB">
        <w:rPr>
          <w:b/>
          <w:bCs/>
          <w:smallCaps/>
          <w:u w:val="single"/>
        </w:rPr>
        <w:lastRenderedPageBreak/>
        <w:t>Temps d’échange avec la salle</w:t>
      </w:r>
    </w:p>
    <w:p w14:paraId="29FCD942" w14:textId="77777777" w:rsidR="00956703" w:rsidRDefault="00956703">
      <w:pPr>
        <w:spacing w:after="120" w:line="264" w:lineRule="auto"/>
        <w:jc w:val="both"/>
      </w:pPr>
    </w:p>
    <w:p w14:paraId="15D0C499" w14:textId="56793AE1" w:rsidR="00A5125F" w:rsidRDefault="00B71856">
      <w:pPr>
        <w:spacing w:after="120" w:line="264" w:lineRule="auto"/>
        <w:jc w:val="both"/>
      </w:pPr>
      <w:r w:rsidRPr="00A5125F">
        <w:rPr>
          <w:b/>
          <w:bCs/>
          <w:u w:val="single"/>
        </w:rPr>
        <w:t xml:space="preserve">Question 1 </w:t>
      </w:r>
      <w:r w:rsidR="00A5125F">
        <w:rPr>
          <w:b/>
          <w:bCs/>
          <w:u w:val="single"/>
        </w:rPr>
        <w:t>[comparaison des situation</w:t>
      </w:r>
      <w:r w:rsidR="00E67B60">
        <w:rPr>
          <w:b/>
          <w:bCs/>
          <w:u w:val="single"/>
        </w:rPr>
        <w:t>s</w:t>
      </w:r>
      <w:r w:rsidR="00A5125F">
        <w:rPr>
          <w:b/>
          <w:bCs/>
          <w:u w:val="single"/>
        </w:rPr>
        <w:t xml:space="preserve"> de grossesse et de transidentité]</w:t>
      </w:r>
      <w:r>
        <w:t> </w:t>
      </w:r>
    </w:p>
    <w:p w14:paraId="29FCD943" w14:textId="7FFFDD11" w:rsidR="00956703" w:rsidRDefault="00B71856">
      <w:pPr>
        <w:spacing w:after="120" w:line="264" w:lineRule="auto"/>
        <w:jc w:val="both"/>
      </w:pPr>
      <w:r>
        <w:t>Nous avons beaucoup raisonné aujourd’hui par analogie avec l’autonomie qu’on pouvait donner à la jeune femme enceinte. Peut-on transposer ces critères aux traitements hormonaux ou chirurgicaux sur les personnes mineures transgenres, alors même que certains présentent des effets secondaires lourds ? Dans le cas de la contraception, l’objectif est de prévenir une grossesse, dont le risque est avant tout psychosocial à 17 ans. N’est-on pas dans une situation comparable ?</w:t>
      </w:r>
    </w:p>
    <w:p w14:paraId="29FCD944" w14:textId="77777777" w:rsidR="00956703" w:rsidRDefault="00B71856">
      <w:pPr>
        <w:spacing w:after="120" w:line="264" w:lineRule="auto"/>
        <w:jc w:val="both"/>
      </w:pPr>
      <w:r>
        <w:rPr>
          <w:b/>
          <w:bCs/>
        </w:rPr>
        <w:t>Aude Mirkovic</w:t>
      </w:r>
      <w:r>
        <w:t xml:space="preserve"> : On peut toujours raisonner par analogie, mais chaque situation mérite une analyse spécifique. Lorsqu’on permet à un mineur d’agir seul pour l’accès à la contraception, à l’IVG ou à d’autres soins, l’objectif est de lui garantir l’accès à des soins qu’il n’oserait peut-être pas évoquer avec ses parents. Mais le résultat est qu’on le prive de la protection de l’autorité parentale à un moment crucial.</w:t>
      </w:r>
    </w:p>
    <w:p w14:paraId="29FCD945" w14:textId="77777777" w:rsidR="00956703" w:rsidRDefault="00B71856">
      <w:pPr>
        <w:spacing w:after="120" w:line="264" w:lineRule="auto"/>
        <w:jc w:val="both"/>
      </w:pPr>
      <w:r>
        <w:t>Cette autonomie me paraît donc extrêmement risquée. Si ma fille se posait des questions relatives au genre, j’aimerais être impliquée dans la situation. Je trouve incohérent qu’un mineur qui ne peut pas acheter une bouteille d’alcool puisse accéder à des soins aussi lourds sans que ses parents en soient informés. Ces analogies doivent être maniées avec beaucoup de prudence.</w:t>
      </w:r>
    </w:p>
    <w:p w14:paraId="29FCD946" w14:textId="77777777" w:rsidR="00956703" w:rsidRDefault="00956703">
      <w:pPr>
        <w:spacing w:after="120" w:line="264" w:lineRule="auto"/>
        <w:jc w:val="both"/>
        <w:rPr>
          <w:highlight w:val="red"/>
        </w:rPr>
      </w:pPr>
    </w:p>
    <w:p w14:paraId="29FCD947" w14:textId="6689E5D7" w:rsidR="00956703" w:rsidRPr="00A5125F" w:rsidRDefault="00B71856">
      <w:pPr>
        <w:spacing w:after="120" w:line="264" w:lineRule="auto"/>
        <w:jc w:val="both"/>
        <w:rPr>
          <w:u w:val="single"/>
        </w:rPr>
      </w:pPr>
      <w:r w:rsidRPr="00A5125F">
        <w:rPr>
          <w:b/>
          <w:bCs/>
          <w:u w:val="single"/>
        </w:rPr>
        <w:t xml:space="preserve">Question </w:t>
      </w:r>
      <w:r w:rsidR="00D40554" w:rsidRPr="00A5125F">
        <w:rPr>
          <w:b/>
          <w:bCs/>
          <w:u w:val="single"/>
        </w:rPr>
        <w:t>2</w:t>
      </w:r>
      <w:r w:rsidR="00A5125F">
        <w:rPr>
          <w:b/>
          <w:bCs/>
          <w:u w:val="single"/>
        </w:rPr>
        <w:t xml:space="preserve"> [place des adultes dans la décision et détransition]</w:t>
      </w:r>
    </w:p>
    <w:p w14:paraId="29FCD948" w14:textId="305018C0" w:rsidR="00956703" w:rsidRPr="00D40554" w:rsidRDefault="00B71856">
      <w:pPr>
        <w:spacing w:after="120" w:line="264" w:lineRule="auto"/>
        <w:jc w:val="both"/>
      </w:pPr>
      <w:r w:rsidRPr="00D40554">
        <w:t xml:space="preserve">Pourquoi </w:t>
      </w:r>
      <w:r w:rsidR="00D40554">
        <w:t>ne</w:t>
      </w:r>
      <w:r w:rsidRPr="00D40554">
        <w:t xml:space="preserve"> demande</w:t>
      </w:r>
      <w:r w:rsidR="00D40554">
        <w:t>-t-on</w:t>
      </w:r>
      <w:r w:rsidRPr="00D40554">
        <w:t xml:space="preserve"> pas au</w:t>
      </w:r>
      <w:r w:rsidR="00D40554">
        <w:t>x</w:t>
      </w:r>
      <w:r w:rsidRPr="00D40554">
        <w:t xml:space="preserve"> personnes concernées</w:t>
      </w:r>
      <w:r w:rsidR="00D40554">
        <w:t>,</w:t>
      </w:r>
      <w:r w:rsidRPr="00D40554">
        <w:t xml:space="preserve"> les personnes majeures actuellement</w:t>
      </w:r>
      <w:r w:rsidR="00D40554">
        <w:t>,</w:t>
      </w:r>
      <w:r w:rsidRPr="00D40554">
        <w:t xml:space="preserve"> </w:t>
      </w:r>
      <w:r w:rsidR="00D40554">
        <w:t>si elles n’</w:t>
      </w:r>
      <w:r w:rsidRPr="00D40554">
        <w:t>auraient pas préféré être pris</w:t>
      </w:r>
      <w:r w:rsidR="00D40554">
        <w:t>es</w:t>
      </w:r>
      <w:r w:rsidRPr="00D40554">
        <w:t xml:space="preserve"> en charge lors de leur minorité</w:t>
      </w:r>
      <w:r w:rsidR="00D40554">
        <w:t> ?</w:t>
      </w:r>
      <w:r w:rsidRPr="00D40554">
        <w:t xml:space="preserve"> Est</w:t>
      </w:r>
      <w:r w:rsidR="00E67B60">
        <w:t>-</w:t>
      </w:r>
      <w:r w:rsidRPr="00D40554">
        <w:t xml:space="preserve">ce qu’il n’y aurait pas une </w:t>
      </w:r>
      <w:r w:rsidR="00D40554">
        <w:t>forme d’instrumentalisation des</w:t>
      </w:r>
      <w:r w:rsidRPr="00D40554">
        <w:t xml:space="preserve"> cas de détransition</w:t>
      </w:r>
      <w:r w:rsidR="00E67B60">
        <w:t> ?</w:t>
      </w:r>
    </w:p>
    <w:p w14:paraId="29FCD949" w14:textId="77777777" w:rsidR="00956703" w:rsidRPr="00D40554" w:rsidRDefault="00B71856">
      <w:pPr>
        <w:spacing w:after="120" w:line="264" w:lineRule="auto"/>
        <w:jc w:val="both"/>
      </w:pPr>
      <w:r w:rsidRPr="00D40554">
        <w:t>Dans mon propre parcours de croissance, j’ai moi-même été traité par bloqueurs. Dès lors, existe-t-il des formes de dysphorie qui seraient jugées plus graves que d’autres ? Les bloqueurs peuvent en effet permettre d’atténuer ou de prévenir une dysphorie future, par exemple liée à la taille ou à certaines caractéristiques physiques.</w:t>
      </w:r>
    </w:p>
    <w:p w14:paraId="29FCD94A" w14:textId="77777777" w:rsidR="00956703" w:rsidRDefault="00B71856">
      <w:pPr>
        <w:spacing w:after="120" w:line="264" w:lineRule="auto"/>
        <w:jc w:val="both"/>
      </w:pPr>
      <w:r>
        <w:t>Pourquoi, dans ce contexte, refuser l’accès aux bloqueurs de puberté pour certaines situations, alors qu’ils sont autorisés dans d’autres indications médicales ?</w:t>
      </w:r>
    </w:p>
    <w:p w14:paraId="29FCD94B" w14:textId="41349A3E" w:rsidR="00956703" w:rsidRDefault="00B71856">
      <w:pPr>
        <w:spacing w:after="120" w:line="264" w:lineRule="auto"/>
        <w:jc w:val="both"/>
      </w:pPr>
      <w:r>
        <w:rPr>
          <w:b/>
          <w:bCs/>
        </w:rPr>
        <w:t>Benjamin Moron-Puech :</w:t>
      </w:r>
      <w:r>
        <w:t xml:space="preserve"> Pour ma part, à propos des personnes intersexuées, j’avais suggéré que l’on prenne en considération l’avis de personnes intersexuées adultes afin d’éclairer la question des interventions chirurgicales pratiquées sur des enfants </w:t>
      </w:r>
      <w:proofErr w:type="spellStart"/>
      <w:r>
        <w:t>intersexuæs</w:t>
      </w:r>
      <w:proofErr w:type="spellEnd"/>
      <w:r>
        <w:t xml:space="preserve"> qui ne sont pas encore en mesure de s’exprimer. En revanche, lorsqu’il s’agit de personnes mineures transge</w:t>
      </w:r>
      <w:r w:rsidR="00D40554">
        <w:t>nre</w:t>
      </w:r>
      <w:r w:rsidR="00E67B60">
        <w:t>s</w:t>
      </w:r>
      <w:r w:rsidR="00D40554">
        <w:t xml:space="preserve"> </w:t>
      </w:r>
      <w:r>
        <w:t>qui peuvent consentir, je ne pense pas qu’il soit pertinent de demander à d’autres personnes concernées de décider à leur place</w:t>
      </w:r>
      <w:r w:rsidR="00D40554">
        <w:t xml:space="preserve"> ou même de donner leur avis</w:t>
      </w:r>
      <w:r>
        <w:t>. Je rejoins</w:t>
      </w:r>
      <w:r w:rsidR="00D40554">
        <w:t xml:space="preserve"> ici</w:t>
      </w:r>
      <w:r>
        <w:t xml:space="preserve"> ce que je disais tout à l’heure sur le besoin de réforme du droit français en vue d’une plus grande autonomie des personnes mineures.</w:t>
      </w:r>
    </w:p>
    <w:p w14:paraId="29FCD94C" w14:textId="000FDA16" w:rsidR="00956703" w:rsidRDefault="00B71856">
      <w:pPr>
        <w:spacing w:before="240" w:after="240" w:line="264" w:lineRule="auto"/>
        <w:jc w:val="both"/>
      </w:pPr>
      <w:r>
        <w:t xml:space="preserve">Cela étant, dans la recommandation relative à l’intersexuation adoptée au niveau du Comité des ministres du Conseil de l’Europe, il a été proposé que les équipes pluridisciplinaires intègrent </w:t>
      </w:r>
      <w:r>
        <w:lastRenderedPageBreak/>
        <w:t>des personnes concernées, notamment des personnes intersexuées</w:t>
      </w:r>
      <w:r>
        <w:rPr>
          <w:vertAlign w:val="superscript"/>
        </w:rPr>
        <w:footnoteReference w:id="13"/>
      </w:r>
      <w:r>
        <w:t>.</w:t>
      </w:r>
      <w:r w:rsidR="00D40554">
        <w:t xml:space="preserve"> Donc s’il s’agit d’intégrer des personnes transgenres concernées aux équipes prenant en charge les personnes mineures trans’, pourquoi pas.</w:t>
      </w:r>
    </w:p>
    <w:p w14:paraId="29FCD94D" w14:textId="6ECC7A30" w:rsidR="00956703" w:rsidRDefault="00B71856">
      <w:pPr>
        <w:spacing w:after="120" w:line="264" w:lineRule="auto"/>
        <w:jc w:val="both"/>
      </w:pPr>
      <w:r>
        <w:t>Concernant la détransition, je vous rejoins en partie : je pense qu’il existe une instrumentalisation des chiffres</w:t>
      </w:r>
      <w:r w:rsidR="00D40554">
        <w:t>. Les chiffres</w:t>
      </w:r>
      <w:r>
        <w:t xml:space="preserve"> souvent avancés</w:t>
      </w:r>
      <w:r w:rsidR="00D40554">
        <w:t xml:space="preserve"> sont faibles : c’est le chiffre de </w:t>
      </w:r>
      <w:r>
        <w:t>1 % des cas</w:t>
      </w:r>
      <w:r w:rsidR="00D40554">
        <w:t xml:space="preserve"> qu’on trouve fréquemment dans la littérature</w:t>
      </w:r>
      <w:r>
        <w:t>. Peut-être, Aude, disposes-tu de données différentes. Mais faut-il, au motif qu’il existe un risque d’abus, interdire une pratique dans son ensemble ? Par exemple, parce que certains professeurs de droit tiennent des propos contestables dans des amphithéâtres, faudrait-il interdire l’enseignement du droit à l’université par des professeurs ? Ou encore, parce qu’il existe des cas d’abus parentaux, faudrait-il supprimer l’autorité parentale de tous les parents ?</w:t>
      </w:r>
    </w:p>
    <w:p w14:paraId="29FCD94F" w14:textId="2455D90B" w:rsidR="00956703" w:rsidRDefault="00B71856">
      <w:pPr>
        <w:spacing w:after="120" w:line="264" w:lineRule="auto"/>
        <w:jc w:val="both"/>
      </w:pPr>
      <w:r>
        <w:t>Il faut surtout être cohérent : on ne peut pas appliquer des règles différentes selon les parties du corps ou les situations. Cet impératif de cohérence renvoie au principe d’égalité.</w:t>
      </w:r>
    </w:p>
    <w:p w14:paraId="649156CD" w14:textId="77777777" w:rsidR="00D40554" w:rsidRDefault="00D40554">
      <w:pPr>
        <w:spacing w:after="120" w:line="264" w:lineRule="auto"/>
        <w:jc w:val="both"/>
      </w:pPr>
    </w:p>
    <w:p w14:paraId="29FCD950" w14:textId="36BBEDE9" w:rsidR="00956703" w:rsidRDefault="00B71856">
      <w:pPr>
        <w:spacing w:after="120" w:line="264" w:lineRule="auto"/>
        <w:jc w:val="both"/>
      </w:pPr>
      <w:r>
        <w:rPr>
          <w:b/>
          <w:bCs/>
        </w:rPr>
        <w:t>Aude Mirkovic</w:t>
      </w:r>
      <w:r>
        <w:t xml:space="preserve"> :</w:t>
      </w:r>
      <w:r w:rsidR="00D40554">
        <w:t> </w:t>
      </w:r>
      <w:r>
        <w:t xml:space="preserve">Je ne pense pas que les cas de détransition soient instrumentalisés. Ils sont éclairants, notamment pour les parents, car ils rappellent qu’un regret est possible. Par ailleurs, le chiffre de 1 % est très incertain : beaucoup de personnes ayant </w:t>
      </w:r>
      <w:proofErr w:type="spellStart"/>
      <w:r>
        <w:t>détransitionné</w:t>
      </w:r>
      <w:proofErr w:type="spellEnd"/>
      <w:r>
        <w:t xml:space="preserve"> ne retournent ni vers les médecins ni vers les associations et sortent donc des statistiques. Leur témoignage apporte néanmoins un élément essentiel de discernement.</w:t>
      </w:r>
    </w:p>
    <w:p w14:paraId="29FCD951" w14:textId="77777777" w:rsidR="00956703" w:rsidRDefault="00956703">
      <w:pPr>
        <w:spacing w:after="120" w:line="264" w:lineRule="auto"/>
        <w:jc w:val="both"/>
      </w:pPr>
    </w:p>
    <w:p w14:paraId="2AEEDD02" w14:textId="062A6289" w:rsidR="00A5125F" w:rsidRPr="00A5125F" w:rsidRDefault="00B71856">
      <w:pPr>
        <w:spacing w:after="120" w:line="264" w:lineRule="auto"/>
        <w:jc w:val="both"/>
        <w:rPr>
          <w:b/>
          <w:bCs/>
          <w:u w:val="single"/>
        </w:rPr>
      </w:pPr>
      <w:r w:rsidRPr="00A5125F">
        <w:rPr>
          <w:b/>
          <w:bCs/>
          <w:u w:val="single"/>
        </w:rPr>
        <w:t>Question 3</w:t>
      </w:r>
      <w:r w:rsidR="007054EB">
        <w:rPr>
          <w:b/>
          <w:bCs/>
          <w:u w:val="single"/>
        </w:rPr>
        <w:t xml:space="preserve"> [les familles hostiles aux transitions]</w:t>
      </w:r>
    </w:p>
    <w:p w14:paraId="29FCD952" w14:textId="794A1AB0" w:rsidR="00956703" w:rsidRDefault="00B71856">
      <w:pPr>
        <w:spacing w:after="120" w:line="264" w:lineRule="auto"/>
        <w:jc w:val="both"/>
        <w:rPr>
          <w:b/>
          <w:bCs/>
        </w:rPr>
      </w:pPr>
      <w:r>
        <w:t>Quel est, en droit français, l’aménagement prévu pour les situations familiales profondément hostiles, susceptibles de compromettre la sécurité du mineur ?</w:t>
      </w:r>
    </w:p>
    <w:p w14:paraId="29FCD953" w14:textId="77777777" w:rsidR="00956703" w:rsidRDefault="00956703">
      <w:pPr>
        <w:spacing w:after="120" w:line="264" w:lineRule="auto"/>
        <w:jc w:val="both"/>
      </w:pPr>
    </w:p>
    <w:p w14:paraId="29FCD954" w14:textId="77777777" w:rsidR="00956703" w:rsidRDefault="00B71856">
      <w:pPr>
        <w:spacing w:after="120" w:line="264" w:lineRule="auto"/>
        <w:jc w:val="both"/>
        <w:rPr>
          <w:b/>
          <w:bCs/>
        </w:rPr>
      </w:pPr>
      <w:r>
        <w:rPr>
          <w:b/>
          <w:bCs/>
        </w:rPr>
        <w:t xml:space="preserve">Aude Mirkovic ; </w:t>
      </w:r>
      <w:r>
        <w:t>Le Code de la santé publique prévoit la possibilité pour un mineur de recevoir certains soins sans l’accord parental, le médecin devant toutefois tenter de convaincre le mineur d’associer ses parents et s’il n’y parvient pas le code prévoit que le médecin délivre les soins indispensables.</w:t>
      </w:r>
    </w:p>
    <w:p w14:paraId="29FCD955" w14:textId="77777777" w:rsidR="00956703" w:rsidRDefault="00956703">
      <w:pPr>
        <w:spacing w:after="120" w:line="264" w:lineRule="auto"/>
        <w:jc w:val="both"/>
      </w:pPr>
    </w:p>
    <w:p w14:paraId="29FCD956" w14:textId="77777777" w:rsidR="00956703" w:rsidRDefault="00B71856">
      <w:pPr>
        <w:spacing w:after="120" w:line="264" w:lineRule="auto"/>
        <w:jc w:val="both"/>
      </w:pPr>
      <w:r>
        <w:rPr>
          <w:b/>
          <w:bCs/>
        </w:rPr>
        <w:t>Benjamin Moron-Puech</w:t>
      </w:r>
      <w:r>
        <w:t xml:space="preserve"> : Il y a différentes mesures : la nomination d’un administrateur </w:t>
      </w:r>
      <w:r>
        <w:rPr>
          <w:i/>
          <w:iCs/>
        </w:rPr>
        <w:t>ad hoc</w:t>
      </w:r>
      <w:r>
        <w:t>, le retrait de l’autorité parentale en cas de danger, ou encore les dispositifs de protection de l’enfance prévus à l’article 375 du Code civil.</w:t>
      </w:r>
    </w:p>
    <w:p w14:paraId="622B80DA" w14:textId="77777777" w:rsidR="007054EB" w:rsidRPr="007054EB" w:rsidRDefault="007054EB" w:rsidP="007054EB">
      <w:pPr>
        <w:spacing w:before="240" w:after="240" w:line="264" w:lineRule="auto"/>
        <w:jc w:val="both"/>
        <w:rPr>
          <w:b/>
          <w:bCs/>
          <w:u w:val="single"/>
        </w:rPr>
      </w:pPr>
      <w:r w:rsidRPr="007054EB">
        <w:rPr>
          <w:b/>
          <w:bCs/>
          <w:u w:val="single"/>
        </w:rPr>
        <w:t xml:space="preserve">Question </w:t>
      </w:r>
      <w:r>
        <w:rPr>
          <w:b/>
          <w:bCs/>
          <w:u w:val="single"/>
        </w:rPr>
        <w:t>4</w:t>
      </w:r>
      <w:r w:rsidRPr="007054EB">
        <w:rPr>
          <w:b/>
          <w:bCs/>
          <w:u w:val="single"/>
        </w:rPr>
        <w:t xml:space="preserve"> [conséquence</w:t>
      </w:r>
      <w:r>
        <w:rPr>
          <w:b/>
          <w:bCs/>
          <w:u w:val="single"/>
        </w:rPr>
        <w:t>s</w:t>
      </w:r>
      <w:r w:rsidRPr="007054EB">
        <w:rPr>
          <w:b/>
          <w:bCs/>
          <w:u w:val="single"/>
        </w:rPr>
        <w:t xml:space="preserve"> de l’interdiction des soins]</w:t>
      </w:r>
    </w:p>
    <w:p w14:paraId="39FB04BC" w14:textId="77777777" w:rsidR="007054EB" w:rsidRDefault="007054EB" w:rsidP="007054EB">
      <w:pPr>
        <w:spacing w:line="276" w:lineRule="auto"/>
        <w:jc w:val="both"/>
        <w:rPr>
          <w:b/>
          <w:bCs/>
        </w:rPr>
      </w:pPr>
      <w:r>
        <w:t>Interdire les bloqueurs de puberté ne risquerait-il pas de freiner la recherche médicale et psychologique sur ces questions ?</w:t>
      </w:r>
    </w:p>
    <w:p w14:paraId="6DF17C75" w14:textId="77777777" w:rsidR="007054EB" w:rsidRDefault="007054EB" w:rsidP="007054EB">
      <w:pPr>
        <w:spacing w:before="240" w:after="240" w:line="264" w:lineRule="auto"/>
        <w:jc w:val="both"/>
      </w:pPr>
      <w:r>
        <w:rPr>
          <w:b/>
          <w:bCs/>
        </w:rPr>
        <w:lastRenderedPageBreak/>
        <w:t>Aude Mirkovic</w:t>
      </w:r>
      <w:r>
        <w:t> : S’agissant des enfants en questionnement de genre — que l’on peut qualifier de mineurs trans —, leur existence ne fait aucun doute. Toutefois, le fait de ne pas leur permettre l’accès à certains traitements médicamenteux ne signifie pas qu’ils seraient abandonnés ou privés de toute prise en charge. Il existe d’autres modalités d’accompagnement. Le simple fait de poser la question exclusivement en termes de médication illustre d’ailleurs une tendance plus générale de la société française à envisager la prise en charge médicale avant tout sous l’angle du traitement pharmacologique.</w:t>
      </w:r>
    </w:p>
    <w:p w14:paraId="64407E60" w14:textId="77777777" w:rsidR="007054EB" w:rsidRDefault="007054EB" w:rsidP="007054EB">
      <w:pPr>
        <w:spacing w:before="240" w:after="240" w:line="264" w:lineRule="auto"/>
        <w:jc w:val="both"/>
      </w:pPr>
      <w:r>
        <w:t xml:space="preserve">Sur l’autre question, considérer que les bloqueurs de puberté sont des traitements trop invasifs, aux conséquences potentiellement trop lourdes, et qu’ils doivent donc être différés, ne revient pas à laisser l’enfant livré à lui-même. Cela relève au contraire de ce que l’on appelle une prise en charge holistique, mise en place dans de nombreux pays. Le Royaume-Uni, par exemple, après la fermeture de la clinique </w:t>
      </w:r>
      <w:proofErr w:type="spellStart"/>
      <w:r>
        <w:t>Tavistock</w:t>
      </w:r>
      <w:proofErr w:type="spellEnd"/>
      <w:r>
        <w:t>, n’a pas abandonné les enfants en questionnement de genre. Il a développé des dispositifs reposant sur des équipes pluridisciplinaires chargées d’examiner la situation de manière globale, en explorant l’ensemble des dimensions psychologiques, sociales et familiales.</w:t>
      </w:r>
    </w:p>
    <w:p w14:paraId="193D1C0B" w14:textId="77777777" w:rsidR="007054EB" w:rsidRDefault="007054EB" w:rsidP="007054EB">
      <w:pPr>
        <w:spacing w:before="240" w:after="240" w:line="264" w:lineRule="auto"/>
        <w:jc w:val="both"/>
      </w:pPr>
      <w:r>
        <w:t>Cette approche ouvre également des perspectives importantes pour la recherche, qu’il s’agisse de pédopsychiatrie ou de médecine en général. Recommander l’interdiction des bloqueurs de puberté pour les mineurs ne signifie donc en aucun cas leur abandon, mais bien la proposition d’un autre type de prise en charge.</w:t>
      </w:r>
    </w:p>
    <w:p w14:paraId="58698C70" w14:textId="77777777" w:rsidR="007054EB" w:rsidRDefault="007054EB" w:rsidP="007054EB">
      <w:pPr>
        <w:spacing w:before="240" w:after="240" w:line="264" w:lineRule="auto"/>
        <w:jc w:val="both"/>
      </w:pPr>
      <w:r>
        <w:rPr>
          <w:b/>
          <w:bCs/>
        </w:rPr>
        <w:t>Benjamin Moron-Puech</w:t>
      </w:r>
      <w:r>
        <w:t> : Je pense aussi que l’interdiction est du pain béni pour la recherche, puisque – et c’est ce qui se fait au Royaume-Uni – une telle interdiction, motif pris qu’il n’y aurait pas assez de données médicales disponibles, va conduire à déplacer la filière actuelle de soin de droit commun, vers une filière de soin expérimental. Les chirurgies et les hormonothérapies ne vont donc pas s’arrêter, comme tu le laisses entendre Aude, mais avoir lieu dans un autre cadre, certes plus restrictif dans un premier temps, mais qui redeviendra du droit commun une fois la phase expérimentale achevée (car je suis convaincu au regard des données déjà existantes qu’elle s’achèvera par la preuve du bénéfice de cette prise en charge médicale !). Pour autant, je ne suis pas favorable à une interdiction totale conduisant au déplacement évoqué plus haut. Ce déplacement entraînerait une perte de temps et d’énergie considérables, outre l’arrêt dans la continuité des soins (et c’est d’ailleurs ce qui s’est produit dans plusieurs pays ayant opté pour une interdiction temporaire, le temps de conduire des recherches encadrées). Or, cela n’est nullement justifié dans la mesure où les études déjà disponibles – celles dont j’ai connaissance – suffisent déjà à montrer le caractère bénéfique de la prise en charge médicale telle qu’elle existe. Certes on peut renforcer cela par de nouvelles études, mais les preuves existantes ne justifient pas de quitter le cadre thérapeutique pour rentrer dans un cadre de recherche médicale.</w:t>
      </w:r>
    </w:p>
    <w:p w14:paraId="643D989A" w14:textId="77777777" w:rsidR="007054EB" w:rsidRDefault="007054EB" w:rsidP="007054EB">
      <w:pPr>
        <w:spacing w:before="240" w:after="240" w:line="264" w:lineRule="auto"/>
        <w:jc w:val="both"/>
      </w:pPr>
      <w:r>
        <w:t xml:space="preserve">Je comprends néanmoins qu’on puisse discuter le niveau de preuve existant, l’estimer insuffisant et vouloir dès lors basculer la filière vers l’expérimentation médicale. À titre de comparaison, pour les personnes intersexes, je défends d’ailleurs une position inverse, à savoir que les données scientifiques sur le bénéfice des opérations de conformation sexuée pratiquées sur des enfants de moins de quatre ans demeurent insuffisantes et justifient, selon moi, un déplacement du cadre : du thérapeutique vers le scientifique. Tant que ces recherches n’ont pas </w:t>
      </w:r>
      <w:r>
        <w:lastRenderedPageBreak/>
        <w:t>été menées, je plaide ainsi que les opérations de conformation sexuée réalisées sans le consentement de l’enfant devraient être considérées comme illégales.</w:t>
      </w:r>
    </w:p>
    <w:p w14:paraId="29FCD957" w14:textId="77777777" w:rsidR="00956703" w:rsidRDefault="00956703">
      <w:pPr>
        <w:spacing w:line="276" w:lineRule="auto"/>
        <w:jc w:val="both"/>
      </w:pPr>
    </w:p>
    <w:p w14:paraId="21C88360" w14:textId="0A10955A" w:rsidR="007054EB" w:rsidRPr="007054EB" w:rsidRDefault="00B71856">
      <w:pPr>
        <w:spacing w:line="276" w:lineRule="auto"/>
        <w:jc w:val="both"/>
        <w:rPr>
          <w:b/>
          <w:bCs/>
          <w:u w:val="single"/>
        </w:rPr>
      </w:pPr>
      <w:r w:rsidRPr="007054EB">
        <w:rPr>
          <w:b/>
          <w:bCs/>
          <w:u w:val="single"/>
        </w:rPr>
        <w:t xml:space="preserve">Questions </w:t>
      </w:r>
      <w:r w:rsidR="007054EB">
        <w:rPr>
          <w:b/>
          <w:bCs/>
          <w:u w:val="single"/>
        </w:rPr>
        <w:t>5 [adulte et enfant]</w:t>
      </w:r>
    </w:p>
    <w:p w14:paraId="29FCD95A" w14:textId="07B26641" w:rsidR="00956703" w:rsidRPr="007054EB" w:rsidRDefault="00B71856" w:rsidP="007054EB">
      <w:pPr>
        <w:spacing w:line="276" w:lineRule="auto"/>
        <w:jc w:val="both"/>
        <w:rPr>
          <w:b/>
          <w:bCs/>
        </w:rPr>
      </w:pPr>
      <w:r>
        <w:t>Mais quelle est la définition pour vous entre l'enfant et l'adulte</w:t>
      </w:r>
      <w:r w:rsidR="00D40554">
        <w:t> </w:t>
      </w:r>
      <w:r>
        <w:t>?</w:t>
      </w:r>
      <w:r>
        <w:rPr>
          <w:b/>
          <w:bCs/>
        </w:rPr>
        <w:t xml:space="preserve"> </w:t>
      </w:r>
    </w:p>
    <w:p w14:paraId="29FCD95B" w14:textId="77777777" w:rsidR="00956703" w:rsidRDefault="00B71856">
      <w:pPr>
        <w:pStyle w:val="Titre3"/>
        <w:keepNext w:val="0"/>
        <w:keepLines w:val="0"/>
        <w:spacing w:before="280" w:line="264" w:lineRule="auto"/>
        <w:jc w:val="both"/>
        <w:rPr>
          <w:color w:val="000000"/>
          <w:sz w:val="24"/>
          <w:szCs w:val="24"/>
        </w:rPr>
      </w:pPr>
      <w:bookmarkStart w:id="2" w:name="_heading=h.qs2vaerzmo7" w:colFirst="0" w:colLast="0"/>
      <w:bookmarkEnd w:id="2"/>
      <w:r>
        <w:rPr>
          <w:b/>
          <w:bCs/>
          <w:color w:val="000000"/>
          <w:sz w:val="24"/>
          <w:szCs w:val="24"/>
        </w:rPr>
        <w:t>Aude Mirkovic</w:t>
      </w:r>
      <w:r>
        <w:rPr>
          <w:color w:val="000000"/>
          <w:sz w:val="24"/>
          <w:szCs w:val="24"/>
        </w:rPr>
        <w:t> : Il me semble que les notions d'enfant et d'adulte renvoient à une notion beaucoup plus souple que les catégories juridiques de « mineur » et de « majeur ». Ici, le terme « enfant » doit être entendu au sens du temps de l’enfance, et non au sens de la filiation, puisque l’on reste l’enfant de ses parents tout au long de la vie. L’enfance désigne ainsi une période qui s’étend de la naissance jusqu’à l’entrée dans l’âge adulte, laquelle ne survient pas au même moment pour tous. Elle dépend de nombreux facteurs, tels que l’éducation, les circonstances de vie, la culture ou encore l’époque.</w:t>
      </w:r>
    </w:p>
    <w:p w14:paraId="29FCD95C" w14:textId="77777777" w:rsidR="00956703" w:rsidRDefault="00B71856">
      <w:pPr>
        <w:spacing w:before="240" w:after="240" w:line="264" w:lineRule="auto"/>
        <w:jc w:val="both"/>
      </w:pPr>
      <w:r>
        <w:rPr>
          <w:color w:val="000000"/>
        </w:rPr>
        <w:t xml:space="preserve">Le passage à l’âge adulte correspond davantage à l’acquisition progressive d’un certain degré de maturité et, éventuellement, d’indépendance alors que les notions de minorité et de majorité sont des catégories juridiques. Parce que la loi se veut universelle et applicable à tous, elle fixe un seuil d’âge qui ne peut tenir compte de la diversité des situations individuelles. Il ne s’agit évidemment pas d’un basculement soudain à dix-huit ans, mais d’un processus graduel, bien </w:t>
      </w:r>
      <w:r>
        <w:t>plus complexe que ne le laisse entendre la frontière juridique.</w:t>
      </w:r>
    </w:p>
    <w:p w14:paraId="29FCD962" w14:textId="3815466A" w:rsidR="00956703" w:rsidRDefault="007054EB">
      <w:pPr>
        <w:spacing w:before="240" w:after="240" w:line="264" w:lineRule="auto"/>
        <w:jc w:val="both"/>
      </w:pPr>
      <w:r>
        <w:rPr>
          <w:b/>
          <w:bCs/>
        </w:rPr>
        <w:t>Benjamin Moron-Puech</w:t>
      </w:r>
      <w:r>
        <w:t> :</w:t>
      </w:r>
      <w:r w:rsidR="00B71856">
        <w:t xml:space="preserve"> </w:t>
      </w:r>
      <w:r>
        <w:t>J</w:t>
      </w:r>
      <w:r w:rsidR="00B71856">
        <w:t>e remercie pour cette question sur les définitions d’enfant et d’a</w:t>
      </w:r>
      <w:r w:rsidR="00D40554">
        <w:t>d</w:t>
      </w:r>
      <w:r w:rsidR="00B71856">
        <w:t xml:space="preserve">ulte, qui permet d’introduire le thème du colloque </w:t>
      </w:r>
      <w:r>
        <w:t xml:space="preserve">de l’année prochaine qu’on prévoit de </w:t>
      </w:r>
      <w:r w:rsidR="00B71856">
        <w:t>consacr</w:t>
      </w:r>
      <w:r>
        <w:t>er</w:t>
      </w:r>
      <w:r w:rsidR="00B71856">
        <w:t xml:space="preserve"> à la misopédie</w:t>
      </w:r>
      <w:r>
        <w:t> !</w:t>
      </w:r>
    </w:p>
    <w:p w14:paraId="29FCD963" w14:textId="6AECCB54" w:rsidR="00956703" w:rsidRDefault="00B71856">
      <w:pPr>
        <w:spacing w:before="240" w:after="240" w:line="264" w:lineRule="auto"/>
        <w:jc w:val="both"/>
      </w:pPr>
      <w:r>
        <w:t xml:space="preserve">À cet égard, je mentionnerai l’ouvrage récemment paru de Sébastien Charbonnier, </w:t>
      </w:r>
      <w:r>
        <w:rPr>
          <w:i/>
          <w:iCs/>
        </w:rPr>
        <w:t>La Fabrique de l’enfance</w:t>
      </w:r>
      <w:r>
        <w:t>, qui interroge l’enfance comme catégorie construite et analyse l’âge comme rapport de pouvoir, en parallèle des rapports de classe, de race et de sexe.</w:t>
      </w:r>
      <w:r w:rsidR="007054EB">
        <w:t xml:space="preserve"> Il y définit l’</w:t>
      </w:r>
      <w:r w:rsidR="007054EB" w:rsidRPr="007054EB">
        <w:rPr>
          <w:i/>
          <w:iCs/>
        </w:rPr>
        <w:t>enfan</w:t>
      </w:r>
      <w:r w:rsidR="007054EB">
        <w:rPr>
          <w:i/>
          <w:iCs/>
        </w:rPr>
        <w:t>t</w:t>
      </w:r>
      <w:r w:rsidR="007054EB">
        <w:t xml:space="preserve"> comme une catégorie inventée par les adultes et l’</w:t>
      </w:r>
      <w:r w:rsidR="007054EB">
        <w:rPr>
          <w:i/>
          <w:iCs/>
        </w:rPr>
        <w:t>adulte</w:t>
      </w:r>
      <w:r w:rsidR="007054EB">
        <w:t xml:space="preserve"> comme une catégorie inventée pour les enfants.</w:t>
      </w:r>
    </w:p>
    <w:p w14:paraId="03970DD5" w14:textId="2DBCCB44" w:rsidR="007054EB" w:rsidRDefault="007054EB" w:rsidP="007054EB">
      <w:pPr>
        <w:spacing w:before="240" w:after="240" w:line="264" w:lineRule="auto"/>
        <w:jc w:val="center"/>
      </w:pPr>
      <w:r>
        <w:t>*</w:t>
      </w:r>
    </w:p>
    <w:p w14:paraId="1B3F6BE4" w14:textId="15C40982" w:rsidR="007054EB" w:rsidRPr="007054EB" w:rsidRDefault="007054EB" w:rsidP="007054EB">
      <w:pPr>
        <w:spacing w:before="240" w:after="240" w:line="264" w:lineRule="auto"/>
        <w:jc w:val="center"/>
      </w:pPr>
      <w:r>
        <w:t>*</w:t>
      </w:r>
      <w:r>
        <w:tab/>
        <w:t>*</w:t>
      </w:r>
    </w:p>
    <w:p w14:paraId="29FCD964" w14:textId="6042AD98" w:rsidR="00956703" w:rsidRDefault="007054EB">
      <w:pPr>
        <w:spacing w:before="240" w:after="240" w:line="264" w:lineRule="auto"/>
        <w:jc w:val="both"/>
      </w:pPr>
      <w:r>
        <w:rPr>
          <w:b/>
          <w:bCs/>
        </w:rPr>
        <w:t xml:space="preserve">Aude </w:t>
      </w:r>
      <w:proofErr w:type="spellStart"/>
      <w:r w:rsidR="00535DE7">
        <w:rPr>
          <w:b/>
          <w:bCs/>
        </w:rPr>
        <w:t>Mirkovic</w:t>
      </w:r>
      <w:proofErr w:type="spellEnd"/>
      <w:r>
        <w:rPr>
          <w:b/>
          <w:bCs/>
        </w:rPr>
        <w:t> </w:t>
      </w:r>
      <w:r>
        <w:t xml:space="preserve">: </w:t>
      </w:r>
      <w:r w:rsidR="00B71856">
        <w:t>Au moment de rendre la parole, je voudrais terminer en remerciant l’ensemble des intervenants et des participants. L’objectif de ce débat était précisément de permettre l’expression de désaccords argumentés. La qualité des échanges témoigne de l’importance de tels espaces de discussion à l’université.</w:t>
      </w:r>
    </w:p>
    <w:p w14:paraId="29FCD965" w14:textId="77777777" w:rsidR="00956703" w:rsidRDefault="00956703">
      <w:pPr>
        <w:spacing w:after="120" w:line="264" w:lineRule="auto"/>
        <w:jc w:val="both"/>
      </w:pPr>
    </w:p>
    <w:p w14:paraId="29FCD966" w14:textId="77777777" w:rsidR="00956703" w:rsidRDefault="00956703">
      <w:pPr>
        <w:spacing w:after="120" w:line="264" w:lineRule="auto"/>
        <w:jc w:val="both"/>
      </w:pPr>
    </w:p>
    <w:sectPr w:rsidR="00956703">
      <w:footerReference w:type="even" r:id="rId8"/>
      <w:footerReference w:type="default" r:id="rId9"/>
      <w:pgSz w:w="11900" w:h="16840"/>
      <w:pgMar w:top="1417" w:right="1417" w:bottom="1417" w:left="1417" w:header="708"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CD7D" w14:textId="77777777" w:rsidR="003500BE" w:rsidRDefault="003500BE">
      <w:r>
        <w:separator/>
      </w:r>
    </w:p>
  </w:endnote>
  <w:endnote w:type="continuationSeparator" w:id="0">
    <w:p w14:paraId="2C7E748D" w14:textId="77777777" w:rsidR="003500BE" w:rsidRDefault="0035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09C13E9-DCAB-4F41-B660-F71E6BD5AF79}"/>
  </w:font>
  <w:font w:name="Play">
    <w:altName w:val="Calibri"/>
    <w:charset w:val="00"/>
    <w:family w:val="auto"/>
    <w:pitch w:val="default"/>
    <w:embedRegular r:id="rId2" w:fontKey="{A8C75B86-3BE3-45AE-B097-76F4649FE667}"/>
  </w:font>
  <w:font w:name="Aptos Display">
    <w:altName w:val="Calibri"/>
    <w:charset w:val="00"/>
    <w:family w:val="swiss"/>
    <w:pitch w:val="variable"/>
    <w:sig w:usb0="20000287" w:usb1="00000003" w:usb2="00000000" w:usb3="00000000" w:csb0="0000019F" w:csb1="00000000"/>
    <w:embedRegular r:id="rId3" w:fontKey="{9F6CEC57-2C4A-483D-ACF2-5ABABC0C9811}"/>
  </w:font>
  <w:font w:name="Lucida Grande">
    <w:charset w:val="00"/>
    <w:family w:val="swiss"/>
    <w:pitch w:val="variable"/>
    <w:sig w:usb0="E1000AEF" w:usb1="5000A1FF" w:usb2="00000000" w:usb3="00000000" w:csb0="000001BF" w:csb1="00000000"/>
  </w:font>
  <w:font w:name="H Franklin Gothic Heavy">
    <w:charset w:val="00"/>
    <w:family w:val="roman"/>
    <w:pitch w:val="default"/>
  </w:font>
  <w:font w:name="Bliss-Medium">
    <w:charset w:val="00"/>
    <w:family w:val="roman"/>
    <w:pitch w:val="default"/>
  </w:font>
  <w:font w:name="Bliss-MediumItalic">
    <w:charset w:val="00"/>
    <w:family w:val="roman"/>
    <w:pitch w:val="default"/>
  </w:font>
  <w:font w:name="HI Franklin Gothic HeavyOblique">
    <w:charset w:val="00"/>
    <w:family w:val="roman"/>
    <w:pitch w:val="default"/>
  </w:font>
  <w:font w:name="Bliss-Regular">
    <w:altName w:val="Cambria"/>
    <w:charset w:val="00"/>
    <w:family w:val="roman"/>
    <w:pitch w:val="default"/>
  </w:font>
  <w:font w:name="Bliss-Italic">
    <w:charset w:val="00"/>
    <w:family w:val="roman"/>
    <w:pitch w:val="default"/>
  </w:font>
  <w:font w:name="Bliss-Bold">
    <w:charset w:val="00"/>
    <w:family w:val="roman"/>
    <w:pitch w:val="default"/>
  </w:font>
  <w:font w:name="Bliss-BoldItalic">
    <w:charset w:val="00"/>
    <w:family w:val="roman"/>
    <w:pitch w:val="default"/>
  </w:font>
  <w:font w:name="Times">
    <w:panose1 w:val="02020603050405020304"/>
    <w:charset w:val="00"/>
    <w:family w:val="roman"/>
    <w:pitch w:val="variable"/>
    <w:sig w:usb0="E0002EFF" w:usb1="C000785B" w:usb2="00000009" w:usb3="00000000" w:csb0="000001FF" w:csb1="00000000"/>
    <w:embedRegular r:id="rId4" w:fontKey="{D0708FAD-2116-4014-8B47-536B20C1955F}"/>
    <w:embedItalic r:id="rId5" w:fontKey="{27ED3FDC-FACA-4F2F-8793-499AE0391C47}"/>
  </w:font>
  <w:font w:name="Aptos">
    <w:charset w:val="00"/>
    <w:family w:val="swiss"/>
    <w:pitch w:val="variable"/>
    <w:sig w:usb0="20000287" w:usb1="00000003" w:usb2="00000000" w:usb3="00000000" w:csb0="0000019F" w:csb1="00000000"/>
    <w:embedRegular r:id="rId6" w:fontKey="{1AD98535-558E-4F41-8506-2E2F161DBFAC}"/>
    <w:embedBold r:id="rId7" w:fontKey="{DFE725AB-C523-44A9-A0FD-B3880125C4A8}"/>
    <w:embedBoldItalic r:id="rId8" w:fontKey="{8D0C7C43-CC25-4211-963C-881778A6797F}"/>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Univers 45 Light">
    <w:charset w:val="00"/>
    <w:family w:val="roman"/>
    <w:pitch w:val="default"/>
  </w:font>
  <w:font w:name="Wingdings">
    <w:panose1 w:val="05000000000000000000"/>
    <w:charset w:val="02"/>
    <w:family w:val="auto"/>
    <w:pitch w:val="variable"/>
    <w:sig w:usb0="00000000" w:usb1="10000000" w:usb2="00000000" w:usb3="00000000" w:csb0="80000000" w:csb1="00000000"/>
  </w:font>
  <w:font w:name="Univers 47 CondensedLight">
    <w:charset w:val="00"/>
    <w:family w:val="roman"/>
    <w:pitch w:val="default"/>
  </w:font>
  <w:font w:name="Univers 55">
    <w:charset w:val="00"/>
    <w:family w:val="roman"/>
    <w:pitch w:val="default"/>
  </w:font>
  <w:font w:name="Univers ExtraBlackExt">
    <w:charset w:val="00"/>
    <w:family w:val="roman"/>
    <w:pitch w:val="default"/>
  </w:font>
  <w:font w:name="Euro Sans">
    <w:charset w:val="00"/>
    <w:family w:val="roman"/>
    <w:pitch w:val="default"/>
  </w:font>
  <w:font w:name="Avenir Next Condensed">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D967" w14:textId="77777777" w:rsidR="00956703" w:rsidRDefault="00B71856">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sidR="003500BE">
      <w:rPr>
        <w:color w:val="000000"/>
      </w:rPr>
      <w:fldChar w:fldCharType="separate"/>
    </w:r>
    <w:r>
      <w:rPr>
        <w:color w:val="000000"/>
      </w:rPr>
      <w:fldChar w:fldCharType="end"/>
    </w:r>
  </w:p>
  <w:p w14:paraId="29FCD968" w14:textId="77777777" w:rsidR="00956703" w:rsidRDefault="0095670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D969" w14:textId="224609CB" w:rsidR="00956703" w:rsidRDefault="00B71856">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D40554">
      <w:rPr>
        <w:noProof/>
        <w:color w:val="000000"/>
        <w:sz w:val="22"/>
        <w:szCs w:val="22"/>
      </w:rPr>
      <w:t>1</w:t>
    </w:r>
    <w:r>
      <w:rPr>
        <w:color w:val="000000"/>
        <w:sz w:val="22"/>
        <w:szCs w:val="22"/>
      </w:rPr>
      <w:fldChar w:fldCharType="end"/>
    </w:r>
  </w:p>
  <w:p w14:paraId="29FCD96A" w14:textId="77777777" w:rsidR="00956703" w:rsidRDefault="00956703">
    <w:pP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5E20F" w14:textId="77777777" w:rsidR="003500BE" w:rsidRDefault="003500BE">
      <w:r>
        <w:separator/>
      </w:r>
    </w:p>
  </w:footnote>
  <w:footnote w:type="continuationSeparator" w:id="0">
    <w:p w14:paraId="14DD6335" w14:textId="77777777" w:rsidR="003500BE" w:rsidRDefault="003500BE">
      <w:r>
        <w:continuationSeparator/>
      </w:r>
    </w:p>
  </w:footnote>
  <w:footnote w:id="1">
    <w:p w14:paraId="797334F6" w14:textId="74B9ABF8" w:rsidR="001B1A37" w:rsidRPr="001B1A37" w:rsidRDefault="001B1A37">
      <w:pPr>
        <w:pStyle w:val="Notedebasdepage"/>
        <w:rPr>
          <w:rFonts w:ascii="Times New Roman" w:hAnsi="Times New Roman"/>
          <w:color w:val="000000"/>
          <w:sz w:val="20"/>
        </w:rPr>
      </w:pPr>
      <w:r w:rsidRPr="001B1A37">
        <w:rPr>
          <w:rFonts w:ascii="Times New Roman" w:hAnsi="Times New Roman"/>
          <w:color w:val="000000"/>
          <w:sz w:val="20"/>
          <w:vertAlign w:val="superscript"/>
        </w:rPr>
        <w:footnoteRef/>
      </w:r>
      <w:r w:rsidRPr="001B1A37">
        <w:rPr>
          <w:rFonts w:ascii="Times New Roman" w:hAnsi="Times New Roman"/>
          <w:color w:val="000000"/>
          <w:sz w:val="20"/>
        </w:rPr>
        <w:t xml:space="preserve"> Programme disponible ici : https://www.univ-lyon2.fr/recherche/agenda-scientifique/les-soins-medicaux-de-transition-des-mineur-es-transgenres</w:t>
      </w:r>
      <w:r>
        <w:rPr>
          <w:rFonts w:ascii="Times New Roman" w:hAnsi="Times New Roman"/>
          <w:color w:val="000000"/>
          <w:sz w:val="20"/>
        </w:rPr>
        <w:t>.</w:t>
      </w:r>
    </w:p>
  </w:footnote>
  <w:footnote w:id="2">
    <w:p w14:paraId="29FCD96B" w14:textId="2A9DA6AA" w:rsidR="00956703" w:rsidRDefault="00B71856">
      <w:pPr>
        <w:jc w:val="both"/>
        <w:rPr>
          <w:color w:val="000000"/>
          <w:sz w:val="20"/>
          <w:szCs w:val="20"/>
        </w:rPr>
      </w:pPr>
      <w:r>
        <w:rPr>
          <w:vertAlign w:val="superscript"/>
        </w:rPr>
        <w:footnoteRef/>
      </w:r>
      <w:r w:rsidR="001B1A37">
        <w:rPr>
          <w:color w:val="000000"/>
          <w:sz w:val="20"/>
          <w:szCs w:val="20"/>
        </w:rPr>
        <w:t xml:space="preserve"> </w:t>
      </w:r>
      <w:r>
        <w:rPr>
          <w:color w:val="000000"/>
          <w:sz w:val="20"/>
          <w:szCs w:val="20"/>
        </w:rPr>
        <w:t xml:space="preserve">« Prise en charge des mineurs présentant une « dysphorie de genre » : Remise en question du protocole médical appliqué par les cliniques de genre », </w:t>
      </w:r>
      <w:proofErr w:type="spellStart"/>
      <w:r>
        <w:rPr>
          <w:i/>
          <w:iCs/>
          <w:color w:val="000000"/>
          <w:sz w:val="20"/>
          <w:szCs w:val="20"/>
        </w:rPr>
        <w:t>Beryl</w:t>
      </w:r>
      <w:proofErr w:type="spellEnd"/>
      <w:r>
        <w:rPr>
          <w:i/>
          <w:iCs/>
          <w:color w:val="000000"/>
          <w:sz w:val="20"/>
          <w:szCs w:val="20"/>
        </w:rPr>
        <w:t xml:space="preserve"> </w:t>
      </w:r>
      <w:proofErr w:type="spellStart"/>
      <w:r>
        <w:rPr>
          <w:i/>
          <w:iCs/>
          <w:color w:val="000000"/>
          <w:sz w:val="20"/>
          <w:szCs w:val="20"/>
        </w:rPr>
        <w:t>Koener</w:t>
      </w:r>
      <w:proofErr w:type="spellEnd"/>
      <w:r>
        <w:rPr>
          <w:i/>
          <w:iCs/>
          <w:color w:val="000000"/>
          <w:sz w:val="20"/>
          <w:szCs w:val="20"/>
        </w:rPr>
        <w:t xml:space="preserve">, Luc Vandecasteele, Caroline </w:t>
      </w:r>
      <w:proofErr w:type="spellStart"/>
      <w:r>
        <w:rPr>
          <w:i/>
          <w:iCs/>
          <w:color w:val="000000"/>
          <w:sz w:val="20"/>
          <w:szCs w:val="20"/>
        </w:rPr>
        <w:t>Eliacheff</w:t>
      </w:r>
      <w:proofErr w:type="spellEnd"/>
      <w:r>
        <w:rPr>
          <w:i/>
          <w:iCs/>
          <w:color w:val="000000"/>
          <w:sz w:val="20"/>
          <w:szCs w:val="20"/>
        </w:rPr>
        <w:t xml:space="preserve">, Jacques Robert, Magali </w:t>
      </w:r>
      <w:proofErr w:type="spellStart"/>
      <w:r>
        <w:rPr>
          <w:i/>
          <w:iCs/>
          <w:color w:val="000000"/>
          <w:sz w:val="20"/>
          <w:szCs w:val="20"/>
        </w:rPr>
        <w:t>Pignard</w:t>
      </w:r>
      <w:proofErr w:type="spellEnd"/>
      <w:r>
        <w:rPr>
          <w:i/>
          <w:iCs/>
          <w:color w:val="000000"/>
          <w:sz w:val="20"/>
          <w:szCs w:val="20"/>
        </w:rPr>
        <w:t xml:space="preserve">, Claudio </w:t>
      </w:r>
      <w:proofErr w:type="spellStart"/>
      <w:r>
        <w:rPr>
          <w:i/>
          <w:iCs/>
          <w:color w:val="000000"/>
          <w:sz w:val="20"/>
          <w:szCs w:val="20"/>
        </w:rPr>
        <w:t>Rubiliani</w:t>
      </w:r>
      <w:proofErr w:type="spellEnd"/>
      <w:r>
        <w:rPr>
          <w:i/>
          <w:iCs/>
          <w:color w:val="000000"/>
          <w:sz w:val="20"/>
          <w:szCs w:val="20"/>
        </w:rPr>
        <w:t xml:space="preserve">, Patrick K. Hunter, Sophie F. </w:t>
      </w:r>
      <w:proofErr w:type="spellStart"/>
      <w:r>
        <w:rPr>
          <w:i/>
          <w:iCs/>
          <w:color w:val="000000"/>
          <w:sz w:val="20"/>
          <w:szCs w:val="20"/>
        </w:rPr>
        <w:t>Dechêne</w:t>
      </w:r>
      <w:proofErr w:type="spellEnd"/>
      <w:r>
        <w:rPr>
          <w:i/>
          <w:iCs/>
          <w:color w:val="000000"/>
          <w:sz w:val="20"/>
          <w:szCs w:val="20"/>
        </w:rPr>
        <w:t xml:space="preserve">, Jean-Paul Leclercq, Jean-Pierre Lebrun, Céline Masson, </w:t>
      </w:r>
      <w:r>
        <w:rPr>
          <w:color w:val="000000"/>
          <w:sz w:val="20"/>
          <w:szCs w:val="20"/>
        </w:rPr>
        <w:t xml:space="preserve">Revue de la faculté de médecine et de médecine dentaire de l’Université catholique de Louvain, décembre 2024, rubrique Psychiatrie infanto-juvénile, pp. 565-585. </w:t>
      </w:r>
    </w:p>
  </w:footnote>
  <w:footnote w:id="3">
    <w:p w14:paraId="29FCD96C" w14:textId="77777777" w:rsidR="00956703" w:rsidRDefault="00B71856">
      <w:pPr>
        <w:spacing w:after="120"/>
        <w:rPr>
          <w:color w:val="000000"/>
          <w:sz w:val="20"/>
          <w:szCs w:val="20"/>
        </w:rPr>
      </w:pPr>
      <w:r>
        <w:rPr>
          <w:vertAlign w:val="superscript"/>
        </w:rPr>
        <w:footnoteRef/>
      </w:r>
      <w:r>
        <w:rPr>
          <w:color w:val="000000"/>
          <w:sz w:val="20"/>
          <w:szCs w:val="20"/>
        </w:rPr>
        <w:t xml:space="preserve"> A/HRC/59/47 : Violence fondée sur le sexe à l’égard des femmes et les filles : nouveaux enjeux et questions émergentes, 16 juin 2025, </w:t>
      </w:r>
      <w:hyperlink r:id="rId1">
        <w:r>
          <w:rPr>
            <w:color w:val="000000"/>
            <w:sz w:val="20"/>
            <w:szCs w:val="20"/>
            <w:u w:val="single"/>
          </w:rPr>
          <w:t>https://docs.un.org/fr/A/HRC/59/47</w:t>
        </w:r>
      </w:hyperlink>
      <w:r>
        <w:rPr>
          <w:color w:val="000000"/>
          <w:sz w:val="20"/>
          <w:szCs w:val="20"/>
          <w:u w:val="single"/>
        </w:rPr>
        <w:t>.</w:t>
      </w:r>
    </w:p>
    <w:bookmarkStart w:id="0" w:name="_heading=h.isqpbyoxd95i" w:colFirst="0" w:colLast="0"/>
    <w:bookmarkEnd w:id="0"/>
  </w:footnote>
  <w:footnote w:id="4">
    <w:p w14:paraId="29FCD96D" w14:textId="77777777" w:rsidR="00956703" w:rsidRPr="00D40554" w:rsidRDefault="00B71856">
      <w:pPr>
        <w:jc w:val="both"/>
        <w:rPr>
          <w:color w:val="000000"/>
          <w:sz w:val="20"/>
          <w:szCs w:val="20"/>
          <w:lang w:val="en-US"/>
        </w:rPr>
      </w:pPr>
      <w:bookmarkStart w:id="1" w:name="_heading=h.isqpbyoxd95i" w:colFirst="0" w:colLast="0"/>
      <w:bookmarkEnd w:id="1"/>
      <w:r>
        <w:rPr>
          <w:vertAlign w:val="superscript"/>
        </w:rPr>
        <w:footnoteRef/>
      </w:r>
      <w:r w:rsidRPr="00D40554">
        <w:rPr>
          <w:color w:val="000000"/>
          <w:sz w:val="20"/>
          <w:szCs w:val="20"/>
          <w:lang w:val="en-US"/>
        </w:rPr>
        <w:t xml:space="preserve"> Dr Marci Bowers interrogé par Abigail Shrier, « Top trans doctors blow the whistle on “sloppy” care, The Free presse, 10 avril 2021, https://www.thefp.com/p/top-trans-doctors-blow-the-whistle.</w:t>
      </w:r>
    </w:p>
  </w:footnote>
  <w:footnote w:id="5">
    <w:p w14:paraId="29FCD96E" w14:textId="77777777" w:rsidR="00956703" w:rsidRPr="00694F06" w:rsidRDefault="00B71856">
      <w:pPr>
        <w:pBdr>
          <w:top w:val="nil"/>
          <w:left w:val="nil"/>
          <w:bottom w:val="nil"/>
          <w:right w:val="nil"/>
          <w:between w:val="nil"/>
        </w:pBdr>
        <w:spacing w:line="200" w:lineRule="auto"/>
        <w:jc w:val="both"/>
        <w:rPr>
          <w:color w:val="000000" w:themeColor="text1"/>
          <w:sz w:val="20"/>
          <w:szCs w:val="20"/>
        </w:rPr>
      </w:pPr>
      <w:r>
        <w:rPr>
          <w:vertAlign w:val="superscript"/>
        </w:rPr>
        <w:footnoteRef/>
      </w:r>
      <w:r>
        <w:rPr>
          <w:color w:val="000000"/>
          <w:sz w:val="20"/>
          <w:szCs w:val="20"/>
        </w:rPr>
        <w:t xml:space="preserve"> </w:t>
      </w:r>
      <w:proofErr w:type="gramStart"/>
      <w:r>
        <w:rPr>
          <w:color w:val="000000"/>
          <w:sz w:val="20"/>
          <w:szCs w:val="20"/>
        </w:rPr>
        <w:t>C. .</w:t>
      </w:r>
      <w:proofErr w:type="gramEnd"/>
      <w:r>
        <w:rPr>
          <w:color w:val="000000"/>
          <w:sz w:val="20"/>
          <w:szCs w:val="20"/>
        </w:rPr>
        <w:t xml:space="preserve"> Lagrange </w:t>
      </w:r>
      <w:r>
        <w:rPr>
          <w:i/>
          <w:iCs/>
          <w:color w:val="000000"/>
          <w:sz w:val="20"/>
          <w:szCs w:val="20"/>
        </w:rPr>
        <w:t xml:space="preserve">et al., </w:t>
      </w:r>
      <w:r>
        <w:rPr>
          <w:color w:val="000000"/>
          <w:sz w:val="20"/>
          <w:szCs w:val="20"/>
        </w:rPr>
        <w:t>‘</w:t>
      </w:r>
      <w:proofErr w:type="spellStart"/>
      <w:r>
        <w:rPr>
          <w:color w:val="000000"/>
          <w:sz w:val="20"/>
          <w:szCs w:val="20"/>
        </w:rPr>
        <w:t>Clinical</w:t>
      </w:r>
      <w:proofErr w:type="spellEnd"/>
      <w:r>
        <w:rPr>
          <w:color w:val="000000"/>
          <w:sz w:val="20"/>
          <w:szCs w:val="20"/>
        </w:rPr>
        <w:t xml:space="preserve"> profiles and care for </w:t>
      </w:r>
      <w:proofErr w:type="spellStart"/>
      <w:r>
        <w:rPr>
          <w:color w:val="000000"/>
          <w:sz w:val="20"/>
          <w:szCs w:val="20"/>
        </w:rPr>
        <w:t>transgender</w:t>
      </w:r>
      <w:proofErr w:type="spellEnd"/>
      <w:r>
        <w:rPr>
          <w:color w:val="000000"/>
          <w:sz w:val="20"/>
          <w:szCs w:val="20"/>
        </w:rPr>
        <w:t xml:space="preserve"> </w:t>
      </w:r>
      <w:proofErr w:type="spellStart"/>
      <w:r>
        <w:rPr>
          <w:color w:val="000000"/>
          <w:sz w:val="20"/>
          <w:szCs w:val="20"/>
        </w:rPr>
        <w:t>children</w:t>
      </w:r>
      <w:proofErr w:type="spellEnd"/>
      <w:r>
        <w:rPr>
          <w:color w:val="000000"/>
          <w:sz w:val="20"/>
          <w:szCs w:val="20"/>
        </w:rPr>
        <w:t xml:space="preserve"> and adolescents in a </w:t>
      </w:r>
      <w:proofErr w:type="spellStart"/>
      <w:r>
        <w:rPr>
          <w:color w:val="000000"/>
          <w:sz w:val="20"/>
          <w:szCs w:val="20"/>
        </w:rPr>
        <w:t>specialist</w:t>
      </w:r>
      <w:proofErr w:type="spellEnd"/>
      <w:r>
        <w:rPr>
          <w:color w:val="000000"/>
          <w:sz w:val="20"/>
          <w:szCs w:val="20"/>
        </w:rPr>
        <w:t xml:space="preserve"> </w:t>
      </w:r>
      <w:proofErr w:type="spellStart"/>
      <w:r>
        <w:rPr>
          <w:color w:val="000000"/>
          <w:sz w:val="20"/>
          <w:szCs w:val="20"/>
        </w:rPr>
        <w:t>clinic</w:t>
      </w:r>
      <w:proofErr w:type="spellEnd"/>
      <w:r>
        <w:rPr>
          <w:color w:val="000000"/>
          <w:sz w:val="20"/>
          <w:szCs w:val="20"/>
        </w:rPr>
        <w:t xml:space="preserve"> in Île-de-France’ (Sept. 2023) 71 (5), </w:t>
      </w:r>
      <w:r>
        <w:rPr>
          <w:i/>
          <w:iCs/>
          <w:color w:val="000000"/>
          <w:sz w:val="20"/>
          <w:szCs w:val="20"/>
        </w:rPr>
        <w:t>Neuropsychiatrie de l’Enfance et de l'Adolescence</w:t>
      </w:r>
      <w:r>
        <w:rPr>
          <w:color w:val="000000"/>
          <w:sz w:val="20"/>
          <w:szCs w:val="20"/>
        </w:rPr>
        <w:t xml:space="preserve">. H. Picard and S. Jutant, </w:t>
      </w:r>
      <w:proofErr w:type="spellStart"/>
      <w:r>
        <w:rPr>
          <w:color w:val="000000"/>
          <w:sz w:val="20"/>
          <w:szCs w:val="20"/>
        </w:rPr>
        <w:t>with</w:t>
      </w:r>
      <w:proofErr w:type="spellEnd"/>
      <w:r>
        <w:rPr>
          <w:color w:val="000000"/>
          <w:sz w:val="20"/>
          <w:szCs w:val="20"/>
        </w:rPr>
        <w:t xml:space="preserve"> the support of G. </w:t>
      </w:r>
      <w:proofErr w:type="spellStart"/>
      <w:r>
        <w:rPr>
          <w:color w:val="000000"/>
          <w:sz w:val="20"/>
          <w:szCs w:val="20"/>
        </w:rPr>
        <w:t>Geydan</w:t>
      </w:r>
      <w:proofErr w:type="spellEnd"/>
      <w:r>
        <w:rPr>
          <w:i/>
          <w:iCs/>
          <w:color w:val="000000"/>
          <w:sz w:val="20"/>
          <w:szCs w:val="20"/>
        </w:rPr>
        <w:t xml:space="preserve">, Rapport relatif à la santé et aux parcours de soins des personnes trans, </w:t>
      </w:r>
      <w:r>
        <w:rPr>
          <w:color w:val="000000"/>
          <w:sz w:val="20"/>
          <w:szCs w:val="20"/>
        </w:rPr>
        <w:t xml:space="preserve">report </w:t>
      </w:r>
      <w:proofErr w:type="spellStart"/>
      <w:r w:rsidRPr="00694F06">
        <w:rPr>
          <w:color w:val="000000" w:themeColor="text1"/>
          <w:sz w:val="20"/>
          <w:szCs w:val="20"/>
        </w:rPr>
        <w:t>submitted</w:t>
      </w:r>
      <w:proofErr w:type="spellEnd"/>
      <w:r w:rsidRPr="00694F06">
        <w:rPr>
          <w:color w:val="000000" w:themeColor="text1"/>
          <w:sz w:val="20"/>
          <w:szCs w:val="20"/>
        </w:rPr>
        <w:t xml:space="preserve"> to Olivier </w:t>
      </w:r>
      <w:proofErr w:type="spellStart"/>
      <w:r w:rsidRPr="00694F06">
        <w:rPr>
          <w:color w:val="000000" w:themeColor="text1"/>
          <w:sz w:val="20"/>
          <w:szCs w:val="20"/>
        </w:rPr>
        <w:t>Véran</w:t>
      </w:r>
      <w:proofErr w:type="spellEnd"/>
      <w:r w:rsidRPr="00694F06">
        <w:rPr>
          <w:color w:val="000000" w:themeColor="text1"/>
          <w:sz w:val="20"/>
          <w:szCs w:val="20"/>
        </w:rPr>
        <w:t xml:space="preserve">, </w:t>
      </w:r>
      <w:proofErr w:type="spellStart"/>
      <w:r w:rsidRPr="00694F06">
        <w:rPr>
          <w:color w:val="000000" w:themeColor="text1"/>
          <w:sz w:val="20"/>
          <w:szCs w:val="20"/>
        </w:rPr>
        <w:t>Minister</w:t>
      </w:r>
      <w:proofErr w:type="spellEnd"/>
      <w:r w:rsidRPr="00694F06">
        <w:rPr>
          <w:color w:val="000000" w:themeColor="text1"/>
          <w:sz w:val="20"/>
          <w:szCs w:val="20"/>
        </w:rPr>
        <w:t xml:space="preserve"> of Social </w:t>
      </w:r>
      <w:proofErr w:type="spellStart"/>
      <w:r w:rsidRPr="00694F06">
        <w:rPr>
          <w:color w:val="000000" w:themeColor="text1"/>
          <w:sz w:val="20"/>
          <w:szCs w:val="20"/>
        </w:rPr>
        <w:t>Affairs</w:t>
      </w:r>
      <w:proofErr w:type="spellEnd"/>
      <w:r w:rsidRPr="00694F06">
        <w:rPr>
          <w:color w:val="000000" w:themeColor="text1"/>
          <w:sz w:val="20"/>
          <w:szCs w:val="20"/>
        </w:rPr>
        <w:t xml:space="preserve"> and </w:t>
      </w:r>
      <w:proofErr w:type="spellStart"/>
      <w:r w:rsidRPr="00694F06">
        <w:rPr>
          <w:color w:val="000000" w:themeColor="text1"/>
          <w:sz w:val="20"/>
          <w:szCs w:val="20"/>
        </w:rPr>
        <w:t>Health</w:t>
      </w:r>
      <w:proofErr w:type="spellEnd"/>
      <w:r w:rsidRPr="00694F06">
        <w:rPr>
          <w:color w:val="000000" w:themeColor="text1"/>
          <w:sz w:val="20"/>
          <w:szCs w:val="20"/>
        </w:rPr>
        <w:t xml:space="preserve">, 2022, https://sante.gouv.fr/IMG/pdf/rapport_sante_des_personnes_trans_2022.pdf, </w:t>
      </w:r>
      <w:r w:rsidRPr="00694F06">
        <w:rPr>
          <w:i/>
          <w:iCs/>
          <w:color w:val="000000" w:themeColor="text1"/>
          <w:sz w:val="20"/>
          <w:szCs w:val="20"/>
        </w:rPr>
        <w:t>p</w:t>
      </w:r>
      <w:r w:rsidRPr="00694F06">
        <w:rPr>
          <w:color w:val="000000" w:themeColor="text1"/>
          <w:sz w:val="20"/>
          <w:szCs w:val="20"/>
        </w:rPr>
        <w:t>. 22.</w:t>
      </w:r>
    </w:p>
  </w:footnote>
  <w:footnote w:id="6">
    <w:p w14:paraId="29FCD96F" w14:textId="77777777" w:rsidR="00956703" w:rsidRPr="00694F06" w:rsidRDefault="00B71856">
      <w:pPr>
        <w:pBdr>
          <w:top w:val="nil"/>
          <w:left w:val="nil"/>
          <w:bottom w:val="nil"/>
          <w:right w:val="nil"/>
          <w:between w:val="nil"/>
        </w:pBdr>
        <w:spacing w:line="200" w:lineRule="auto"/>
        <w:jc w:val="both"/>
        <w:rPr>
          <w:color w:val="000000" w:themeColor="text1"/>
          <w:sz w:val="20"/>
          <w:szCs w:val="20"/>
        </w:rPr>
      </w:pPr>
      <w:r w:rsidRPr="00694F06">
        <w:rPr>
          <w:color w:val="000000" w:themeColor="text1"/>
          <w:vertAlign w:val="superscript"/>
        </w:rPr>
        <w:footnoteRef/>
      </w:r>
      <w:r w:rsidRPr="00694F06">
        <w:rPr>
          <w:color w:val="000000" w:themeColor="text1"/>
          <w:sz w:val="20"/>
          <w:szCs w:val="20"/>
        </w:rPr>
        <w:t xml:space="preserve"> Les Républicains (Sénat), </w:t>
      </w:r>
      <w:r w:rsidRPr="00694F06">
        <w:rPr>
          <w:i/>
          <w:iCs/>
          <w:color w:val="000000" w:themeColor="text1"/>
          <w:sz w:val="20"/>
          <w:szCs w:val="20"/>
        </w:rPr>
        <w:t xml:space="preserve">La </w:t>
      </w:r>
      <w:proofErr w:type="spellStart"/>
      <w:r w:rsidRPr="00694F06">
        <w:rPr>
          <w:i/>
          <w:iCs/>
          <w:color w:val="000000" w:themeColor="text1"/>
          <w:sz w:val="20"/>
          <w:szCs w:val="20"/>
        </w:rPr>
        <w:t>transidentification</w:t>
      </w:r>
      <w:proofErr w:type="spellEnd"/>
      <w:r w:rsidRPr="00694F06">
        <w:rPr>
          <w:i/>
          <w:iCs/>
          <w:color w:val="000000" w:themeColor="text1"/>
          <w:sz w:val="20"/>
          <w:szCs w:val="20"/>
        </w:rPr>
        <w:t xml:space="preserve"> des mineurs, </w:t>
      </w:r>
      <w:r w:rsidRPr="00694F06">
        <w:rPr>
          <w:color w:val="000000" w:themeColor="text1"/>
          <w:sz w:val="20"/>
          <w:szCs w:val="20"/>
        </w:rPr>
        <w:t>mars 2024, p. 91 et s.</w:t>
      </w:r>
    </w:p>
  </w:footnote>
  <w:footnote w:id="7">
    <w:p w14:paraId="5445A7A2" w14:textId="3E88078E" w:rsidR="00387550" w:rsidRPr="00694F06" w:rsidRDefault="00387550">
      <w:pPr>
        <w:pStyle w:val="Notedebasdepage"/>
        <w:rPr>
          <w:rFonts w:ascii="Times New Roman" w:hAnsi="Times New Roman"/>
          <w:color w:val="000000" w:themeColor="text1"/>
          <w:sz w:val="20"/>
        </w:rPr>
      </w:pPr>
      <w:r w:rsidRPr="00694F06">
        <w:rPr>
          <w:rStyle w:val="Appelnotedebasdep"/>
          <w:rFonts w:ascii="Times New Roman" w:hAnsi="Times New Roman"/>
          <w:color w:val="000000" w:themeColor="text1"/>
          <w:sz w:val="20"/>
        </w:rPr>
        <w:footnoteRef/>
      </w:r>
      <w:r w:rsidRPr="00694F06">
        <w:rPr>
          <w:rFonts w:ascii="Times New Roman" w:hAnsi="Times New Roman"/>
          <w:color w:val="000000" w:themeColor="text1"/>
          <w:sz w:val="20"/>
        </w:rPr>
        <w:t xml:space="preserve"> Les mots suivis d’un astérisque lors de leur première utilisation sont accordés au genre neutre par Benjamin Moron-Puech, suivant les régularités proposées dans </w:t>
      </w:r>
      <w:proofErr w:type="spellStart"/>
      <w:r w:rsidRPr="00694F06">
        <w:rPr>
          <w:rFonts w:ascii="Times New Roman" w:hAnsi="Times New Roman"/>
          <w:color w:val="000000" w:themeColor="text1"/>
          <w:sz w:val="20"/>
        </w:rPr>
        <w:t>Alpheratz</w:t>
      </w:r>
      <w:proofErr w:type="spellEnd"/>
      <w:r w:rsidRPr="00694F06">
        <w:rPr>
          <w:rFonts w:ascii="Times New Roman" w:hAnsi="Times New Roman"/>
          <w:color w:val="000000" w:themeColor="text1"/>
          <w:sz w:val="20"/>
        </w:rPr>
        <w:t xml:space="preserve">, </w:t>
      </w:r>
      <w:r w:rsidRPr="00694F06">
        <w:rPr>
          <w:rFonts w:ascii="Times New Roman" w:hAnsi="Times New Roman"/>
          <w:i/>
          <w:iCs/>
          <w:color w:val="000000" w:themeColor="text1"/>
          <w:sz w:val="20"/>
        </w:rPr>
        <w:t>Grammaire du français inclusif</w:t>
      </w:r>
      <w:r w:rsidRPr="00694F06">
        <w:rPr>
          <w:rFonts w:ascii="Times New Roman" w:hAnsi="Times New Roman"/>
          <w:color w:val="000000" w:themeColor="text1"/>
          <w:sz w:val="20"/>
        </w:rPr>
        <w:t xml:space="preserve">, Vent </w:t>
      </w:r>
      <w:proofErr w:type="spellStart"/>
      <w:r w:rsidRPr="00694F06">
        <w:rPr>
          <w:rFonts w:ascii="Times New Roman" w:hAnsi="Times New Roman"/>
          <w:color w:val="000000" w:themeColor="text1"/>
          <w:sz w:val="20"/>
        </w:rPr>
        <w:t>Solars</w:t>
      </w:r>
      <w:proofErr w:type="spellEnd"/>
      <w:r w:rsidRPr="00694F06">
        <w:rPr>
          <w:rFonts w:ascii="Times New Roman" w:hAnsi="Times New Roman"/>
          <w:color w:val="000000" w:themeColor="text1"/>
          <w:sz w:val="20"/>
        </w:rPr>
        <w:t xml:space="preserve"> éd., 2018. </w:t>
      </w:r>
    </w:p>
  </w:footnote>
  <w:footnote w:id="8">
    <w:p w14:paraId="29FCD970" w14:textId="77777777" w:rsidR="00956703" w:rsidRPr="00694F06" w:rsidRDefault="00B71856">
      <w:pPr>
        <w:pBdr>
          <w:top w:val="nil"/>
          <w:left w:val="nil"/>
          <w:bottom w:val="nil"/>
          <w:right w:val="nil"/>
          <w:between w:val="nil"/>
        </w:pBdr>
        <w:spacing w:line="200" w:lineRule="auto"/>
        <w:jc w:val="both"/>
        <w:rPr>
          <w:color w:val="000000" w:themeColor="text1"/>
          <w:sz w:val="20"/>
          <w:szCs w:val="20"/>
        </w:rPr>
      </w:pPr>
      <w:r w:rsidRPr="00694F06">
        <w:rPr>
          <w:color w:val="000000" w:themeColor="text1"/>
          <w:vertAlign w:val="superscript"/>
        </w:rPr>
        <w:footnoteRef/>
      </w:r>
      <w:r w:rsidRPr="00694F06">
        <w:rPr>
          <w:color w:val="000000" w:themeColor="text1"/>
          <w:sz w:val="20"/>
          <w:szCs w:val="20"/>
        </w:rPr>
        <w:t xml:space="preserve"> N. </w:t>
      </w:r>
      <w:proofErr w:type="spellStart"/>
      <w:r w:rsidRPr="00694F06">
        <w:rPr>
          <w:color w:val="000000" w:themeColor="text1"/>
          <w:sz w:val="20"/>
          <w:szCs w:val="20"/>
        </w:rPr>
        <w:t>Bajos</w:t>
      </w:r>
      <w:proofErr w:type="spellEnd"/>
      <w:r w:rsidRPr="00694F06">
        <w:rPr>
          <w:color w:val="000000" w:themeColor="text1"/>
          <w:sz w:val="20"/>
          <w:szCs w:val="20"/>
        </w:rPr>
        <w:t xml:space="preserve"> </w:t>
      </w:r>
      <w:r w:rsidRPr="00694F06">
        <w:rPr>
          <w:i/>
          <w:iCs/>
          <w:color w:val="000000" w:themeColor="text1"/>
          <w:sz w:val="20"/>
          <w:szCs w:val="20"/>
        </w:rPr>
        <w:t>et al.</w:t>
      </w:r>
      <w:r w:rsidRPr="00694F06">
        <w:rPr>
          <w:color w:val="000000" w:themeColor="text1"/>
          <w:sz w:val="20"/>
          <w:szCs w:val="20"/>
        </w:rPr>
        <w:t xml:space="preserve">, </w:t>
      </w:r>
      <w:r w:rsidRPr="00694F06">
        <w:rPr>
          <w:i/>
          <w:iCs/>
          <w:color w:val="000000" w:themeColor="text1"/>
          <w:sz w:val="20"/>
          <w:szCs w:val="20"/>
        </w:rPr>
        <w:t>Contexte des sexualités en France, ANRS Maladie infectieuses émergentes</w:t>
      </w:r>
      <w:r w:rsidRPr="00694F06">
        <w:rPr>
          <w:color w:val="000000" w:themeColor="text1"/>
          <w:sz w:val="20"/>
          <w:szCs w:val="20"/>
        </w:rPr>
        <w:t>,</w:t>
      </w:r>
      <w:r w:rsidRPr="00694F06">
        <w:rPr>
          <w:i/>
          <w:iCs/>
          <w:color w:val="000000" w:themeColor="text1"/>
          <w:sz w:val="20"/>
          <w:szCs w:val="20"/>
        </w:rPr>
        <w:t xml:space="preserve"> </w:t>
      </w:r>
      <w:r w:rsidRPr="00694F06">
        <w:rPr>
          <w:color w:val="000000" w:themeColor="text1"/>
          <w:sz w:val="20"/>
          <w:szCs w:val="20"/>
        </w:rPr>
        <w:t>Institut national de la santé et de la recherche médicale (Inserm), 13 nov. 2024</w:t>
      </w:r>
    </w:p>
  </w:footnote>
  <w:footnote w:id="9">
    <w:p w14:paraId="29FCD971" w14:textId="77777777" w:rsidR="00956703" w:rsidRDefault="00B71856">
      <w:pPr>
        <w:jc w:val="both"/>
        <w:rPr>
          <w:color w:val="000000"/>
          <w:sz w:val="20"/>
          <w:szCs w:val="20"/>
        </w:rPr>
      </w:pPr>
      <w:r>
        <w:rPr>
          <w:vertAlign w:val="superscript"/>
        </w:rPr>
        <w:footnoteRef/>
      </w:r>
      <w:r>
        <w:rPr>
          <w:color w:val="000000"/>
          <w:sz w:val="20"/>
          <w:szCs w:val="20"/>
        </w:rPr>
        <w:t xml:space="preserve"> Laurence </w:t>
      </w:r>
      <w:proofErr w:type="spellStart"/>
      <w:r>
        <w:rPr>
          <w:color w:val="000000"/>
          <w:sz w:val="20"/>
          <w:szCs w:val="20"/>
        </w:rPr>
        <w:t>Vanceunebrock</w:t>
      </w:r>
      <w:proofErr w:type="spellEnd"/>
      <w:r>
        <w:rPr>
          <w:color w:val="000000"/>
          <w:sz w:val="20"/>
          <w:szCs w:val="20"/>
        </w:rPr>
        <w:t>, Compte-rendu de la deuxième séance du 5 octobre 2021, https://www.assemblee-nationale.fr/dyn/15/comptes-rendus/seance/session-ordinaire-de-2021-2022/deuxieme-seance-du-mardi-05-octobre-2021</w:t>
      </w:r>
    </w:p>
  </w:footnote>
  <w:footnote w:id="10">
    <w:p w14:paraId="29FCD972" w14:textId="77777777" w:rsidR="00956703" w:rsidRDefault="00B71856">
      <w:pPr>
        <w:pBdr>
          <w:top w:val="nil"/>
          <w:left w:val="nil"/>
          <w:bottom w:val="nil"/>
          <w:right w:val="nil"/>
          <w:between w:val="nil"/>
        </w:pBdr>
        <w:spacing w:line="200" w:lineRule="auto"/>
        <w:jc w:val="both"/>
        <w:rPr>
          <w:color w:val="000000"/>
          <w:sz w:val="20"/>
          <w:szCs w:val="20"/>
        </w:rPr>
      </w:pPr>
      <w:r>
        <w:rPr>
          <w:vertAlign w:val="superscript"/>
        </w:rPr>
        <w:footnoteRef/>
      </w:r>
      <w:r>
        <w:rPr>
          <w:color w:val="000000"/>
          <w:sz w:val="20"/>
          <w:szCs w:val="20"/>
        </w:rPr>
        <w:t xml:space="preserve"> C. civ. Q., art 14 ; </w:t>
      </w:r>
      <w:proofErr w:type="spellStart"/>
      <w:r>
        <w:rPr>
          <w:i/>
          <w:iCs/>
          <w:color w:val="000000"/>
          <w:sz w:val="20"/>
          <w:szCs w:val="20"/>
        </w:rPr>
        <w:t>adde</w:t>
      </w:r>
      <w:proofErr w:type="spellEnd"/>
      <w:r>
        <w:rPr>
          <w:i/>
          <w:iCs/>
          <w:color w:val="000000"/>
          <w:sz w:val="20"/>
          <w:szCs w:val="20"/>
        </w:rPr>
        <w:t xml:space="preserve"> </w:t>
      </w:r>
      <w:r>
        <w:rPr>
          <w:color w:val="000000"/>
          <w:sz w:val="20"/>
          <w:szCs w:val="20"/>
        </w:rPr>
        <w:t xml:space="preserve">J. Clouet, « Transition de genre : réflexion critique sur l’autonomie décisionnelle de l’enfant transgenre », </w:t>
      </w:r>
      <w:r>
        <w:rPr>
          <w:i/>
          <w:iCs/>
          <w:color w:val="000000"/>
          <w:sz w:val="20"/>
          <w:szCs w:val="20"/>
        </w:rPr>
        <w:t>Revue juridique de Sherbrooke</w:t>
      </w:r>
      <w:r>
        <w:rPr>
          <w:color w:val="000000"/>
          <w:sz w:val="20"/>
          <w:szCs w:val="20"/>
        </w:rPr>
        <w:t>, Volume 51, numéro 1, 2022, p. 1–26.</w:t>
      </w:r>
    </w:p>
  </w:footnote>
  <w:footnote w:id="11">
    <w:p w14:paraId="29FCD973" w14:textId="77777777" w:rsidR="00956703" w:rsidRDefault="00B71856">
      <w:pPr>
        <w:pBdr>
          <w:top w:val="nil"/>
          <w:left w:val="nil"/>
          <w:bottom w:val="nil"/>
          <w:right w:val="nil"/>
          <w:between w:val="nil"/>
        </w:pBdr>
        <w:spacing w:line="200" w:lineRule="auto"/>
        <w:jc w:val="both"/>
        <w:rPr>
          <w:color w:val="000000"/>
          <w:sz w:val="20"/>
          <w:szCs w:val="20"/>
        </w:rPr>
      </w:pPr>
      <w:r>
        <w:rPr>
          <w:vertAlign w:val="superscript"/>
        </w:rPr>
        <w:footnoteRef/>
      </w:r>
      <w:r>
        <w:rPr>
          <w:color w:val="000000"/>
          <w:sz w:val="20"/>
          <w:szCs w:val="20"/>
        </w:rPr>
        <w:t xml:space="preserve"> Conseil de l’Europe, </w:t>
      </w:r>
      <w:r>
        <w:rPr>
          <w:i/>
          <w:iCs/>
          <w:color w:val="000000"/>
          <w:sz w:val="20"/>
          <w:szCs w:val="20"/>
        </w:rPr>
        <w:t>Guide sur la participation des enfants aux décisions concernant leur santé</w:t>
      </w:r>
      <w:r>
        <w:rPr>
          <w:color w:val="000000"/>
          <w:sz w:val="20"/>
          <w:szCs w:val="20"/>
        </w:rPr>
        <w:t>, 2025.</w:t>
      </w:r>
    </w:p>
  </w:footnote>
  <w:footnote w:id="12">
    <w:p w14:paraId="29FCD974" w14:textId="77777777" w:rsidR="00956703" w:rsidRDefault="00B71856">
      <w:pPr>
        <w:jc w:val="both"/>
        <w:rPr>
          <w:color w:val="000000"/>
          <w:sz w:val="20"/>
          <w:szCs w:val="20"/>
        </w:rPr>
      </w:pPr>
      <w:r>
        <w:rPr>
          <w:vertAlign w:val="superscript"/>
        </w:rPr>
        <w:footnoteRef/>
      </w:r>
      <w:r>
        <w:rPr>
          <w:color w:val="000000"/>
          <w:sz w:val="20"/>
          <w:szCs w:val="20"/>
        </w:rPr>
        <w:t xml:space="preserve"> </w:t>
      </w:r>
      <w:hyperlink r:id="rId2">
        <w:r>
          <w:rPr>
            <w:color w:val="000000"/>
            <w:sz w:val="20"/>
            <w:szCs w:val="20"/>
            <w:highlight w:val="white"/>
            <w:u w:val="single"/>
          </w:rPr>
          <w:t>https://www.jim.fr/viewarticle/lamputeur-amputé-2025a1000oy0</w:t>
        </w:r>
      </w:hyperlink>
    </w:p>
  </w:footnote>
  <w:footnote w:id="13">
    <w:p w14:paraId="29FCD975" w14:textId="77777777" w:rsidR="00956703" w:rsidRDefault="00B71856">
      <w:pPr>
        <w:pBdr>
          <w:top w:val="nil"/>
          <w:left w:val="nil"/>
          <w:bottom w:val="nil"/>
          <w:right w:val="nil"/>
          <w:between w:val="nil"/>
        </w:pBdr>
        <w:spacing w:line="200" w:lineRule="auto"/>
        <w:jc w:val="both"/>
        <w:rPr>
          <w:color w:val="000000"/>
          <w:sz w:val="20"/>
          <w:szCs w:val="20"/>
        </w:rPr>
      </w:pPr>
      <w:r>
        <w:rPr>
          <w:vertAlign w:val="superscript"/>
        </w:rPr>
        <w:footnoteRef/>
      </w:r>
      <w:r>
        <w:rPr>
          <w:color w:val="000000"/>
          <w:sz w:val="20"/>
          <w:szCs w:val="20"/>
        </w:rPr>
        <w:t xml:space="preserve"> V. l’exposé des motifs de la Recommandation (2025) 7 du Comité des ministres, </w:t>
      </w:r>
      <w:r>
        <w:rPr>
          <w:i/>
          <w:iCs/>
          <w:color w:val="000000"/>
          <w:sz w:val="20"/>
          <w:szCs w:val="20"/>
        </w:rPr>
        <w:t>Égalité des droits des personnes intersexes</w:t>
      </w:r>
      <w:r>
        <w:rPr>
          <w:color w:val="000000"/>
          <w:sz w:val="20"/>
          <w:szCs w:val="20"/>
        </w:rPr>
        <w:t>, §126, https://rm.coe.int/recommandation-cm-rec-2025-7-et-expose-des-motifs-egalite-des-droits-d/48802904ae.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96CF5"/>
    <w:multiLevelType w:val="multilevel"/>
    <w:tmpl w:val="7B6ECB40"/>
    <w:lvl w:ilvl="0">
      <w:start w:val="25"/>
      <w:numFmt w:val="bullet"/>
      <w:pStyle w:val="Pnum"/>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FF46C4"/>
    <w:multiLevelType w:val="multilevel"/>
    <w:tmpl w:val="2AF68E52"/>
    <w:lvl w:ilvl="0">
      <w:start w:val="1"/>
      <w:numFmt w:val="decimal"/>
      <w:pStyle w:val="Rf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41678B0"/>
    <w:multiLevelType w:val="multilevel"/>
    <w:tmpl w:val="A19672A4"/>
    <w:lvl w:ilvl="0">
      <w:numFmt w:val="bullet"/>
      <w:pStyle w:val="AlTir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03"/>
    <w:rsid w:val="00072D78"/>
    <w:rsid w:val="001B1A37"/>
    <w:rsid w:val="00246C1F"/>
    <w:rsid w:val="0031678F"/>
    <w:rsid w:val="003500BE"/>
    <w:rsid w:val="00387550"/>
    <w:rsid w:val="004007D4"/>
    <w:rsid w:val="00524AD6"/>
    <w:rsid w:val="00535DE7"/>
    <w:rsid w:val="0054423A"/>
    <w:rsid w:val="00551656"/>
    <w:rsid w:val="00570C5B"/>
    <w:rsid w:val="005C6235"/>
    <w:rsid w:val="00694F06"/>
    <w:rsid w:val="007054EB"/>
    <w:rsid w:val="007F7EA7"/>
    <w:rsid w:val="008E10E6"/>
    <w:rsid w:val="00900487"/>
    <w:rsid w:val="00956703"/>
    <w:rsid w:val="00A5125F"/>
    <w:rsid w:val="00B61982"/>
    <w:rsid w:val="00B71856"/>
    <w:rsid w:val="00BD4ABB"/>
    <w:rsid w:val="00D40554"/>
    <w:rsid w:val="00E67B60"/>
    <w:rsid w:val="00EE3F00"/>
    <w:rsid w:val="00F72EE2"/>
    <w:rsid w:val="00F76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CD8D8"/>
  <w15:docId w15:val="{CFD885B5-C9A0-6845-B6BC-AC93D57B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iCs/>
      <w:color w:val="595959"/>
    </w:rPr>
  </w:style>
  <w:style w:type="paragraph" w:styleId="Titre7">
    <w:name w:val="heading 7"/>
    <w:basedOn w:val="Normal"/>
    <w:next w:val="Normal"/>
    <w:link w:val="Titre7Car"/>
    <w:unhideWhenUsed/>
    <w:qFormat/>
    <w:rsid w:val="0078399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78399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78399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re1Car">
    <w:name w:val="Titre 1 Car"/>
    <w:basedOn w:val="Policepardfaut"/>
    <w:rsid w:val="0078399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rsid w:val="0078399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rsid w:val="00783992"/>
    <w:rPr>
      <w:rFonts w:eastAsiaTheme="majorEastAsia" w:cstheme="majorBidi"/>
      <w:color w:val="0F4761" w:themeColor="accent1" w:themeShade="BF"/>
      <w:sz w:val="28"/>
      <w:szCs w:val="28"/>
    </w:rPr>
  </w:style>
  <w:style w:type="character" w:customStyle="1" w:styleId="Titre4Car">
    <w:name w:val="Titre 4 Car"/>
    <w:basedOn w:val="Policepardfaut"/>
    <w:rsid w:val="00783992"/>
    <w:rPr>
      <w:rFonts w:eastAsiaTheme="majorEastAsia" w:cstheme="majorBidi"/>
      <w:i/>
      <w:iCs/>
      <w:color w:val="0F4761" w:themeColor="accent1" w:themeShade="BF"/>
    </w:rPr>
  </w:style>
  <w:style w:type="character" w:customStyle="1" w:styleId="Titre5Car">
    <w:name w:val="Titre 5 Car"/>
    <w:basedOn w:val="Policepardfaut"/>
    <w:rsid w:val="00783992"/>
    <w:rPr>
      <w:rFonts w:eastAsiaTheme="majorEastAsia" w:cstheme="majorBidi"/>
      <w:color w:val="0F4761" w:themeColor="accent1" w:themeShade="BF"/>
    </w:rPr>
  </w:style>
  <w:style w:type="character" w:customStyle="1" w:styleId="Titre6Car">
    <w:name w:val="Titre 6 Car"/>
    <w:basedOn w:val="Policepardfaut"/>
    <w:uiPriority w:val="9"/>
    <w:rsid w:val="00783992"/>
    <w:rPr>
      <w:rFonts w:eastAsiaTheme="majorEastAsia" w:cstheme="majorBidi"/>
      <w:i/>
      <w:iCs/>
      <w:color w:val="595959" w:themeColor="text1" w:themeTint="A6"/>
    </w:rPr>
  </w:style>
  <w:style w:type="character" w:customStyle="1" w:styleId="Titre7Car">
    <w:name w:val="Titre 7 Car"/>
    <w:basedOn w:val="Policepardfaut"/>
    <w:link w:val="Titre7"/>
    <w:rsid w:val="00783992"/>
    <w:rPr>
      <w:rFonts w:eastAsiaTheme="majorEastAsia" w:cstheme="majorBidi"/>
      <w:color w:val="595959" w:themeColor="text1" w:themeTint="A6"/>
    </w:rPr>
  </w:style>
  <w:style w:type="character" w:customStyle="1" w:styleId="Titre8Car">
    <w:name w:val="Titre 8 Car"/>
    <w:basedOn w:val="Policepardfaut"/>
    <w:link w:val="Titre8"/>
    <w:rsid w:val="00783992"/>
    <w:rPr>
      <w:rFonts w:eastAsiaTheme="majorEastAsia" w:cstheme="majorBidi"/>
      <w:i/>
      <w:iCs/>
      <w:color w:val="272727" w:themeColor="text1" w:themeTint="D8"/>
    </w:rPr>
  </w:style>
  <w:style w:type="character" w:customStyle="1" w:styleId="Titre9Car">
    <w:name w:val="Titre 9 Car"/>
    <w:basedOn w:val="Policepardfaut"/>
    <w:link w:val="Titre9"/>
    <w:rsid w:val="00783992"/>
    <w:rPr>
      <w:rFonts w:eastAsiaTheme="majorEastAsia" w:cstheme="majorBidi"/>
      <w:color w:val="272727" w:themeColor="text1" w:themeTint="D8"/>
    </w:rPr>
  </w:style>
  <w:style w:type="character" w:customStyle="1" w:styleId="TitreCar">
    <w:name w:val="Titre Car"/>
    <w:basedOn w:val="Policepardfaut"/>
    <w:uiPriority w:val="10"/>
    <w:rsid w:val="00783992"/>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78399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83992"/>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83992"/>
    <w:rPr>
      <w:i/>
      <w:iCs/>
      <w:color w:val="404040" w:themeColor="text1" w:themeTint="BF"/>
    </w:rPr>
  </w:style>
  <w:style w:type="paragraph" w:styleId="Paragraphedeliste">
    <w:name w:val="List Paragraph"/>
    <w:basedOn w:val="Normal"/>
    <w:uiPriority w:val="34"/>
    <w:qFormat/>
    <w:rsid w:val="00783992"/>
    <w:pPr>
      <w:ind w:left="720"/>
      <w:contextualSpacing/>
    </w:pPr>
  </w:style>
  <w:style w:type="character" w:styleId="Accentuationintense">
    <w:name w:val="Intense Emphasis"/>
    <w:basedOn w:val="Policepardfaut"/>
    <w:uiPriority w:val="21"/>
    <w:qFormat/>
    <w:rsid w:val="00783992"/>
    <w:rPr>
      <w:i/>
      <w:iCs/>
      <w:color w:val="0F4761" w:themeColor="accent1" w:themeShade="BF"/>
    </w:rPr>
  </w:style>
  <w:style w:type="paragraph" w:styleId="Citationintense">
    <w:name w:val="Intense Quote"/>
    <w:basedOn w:val="Normal"/>
    <w:next w:val="Normal"/>
    <w:link w:val="CitationintenseCar"/>
    <w:uiPriority w:val="30"/>
    <w:qFormat/>
    <w:rsid w:val="007839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83992"/>
    <w:rPr>
      <w:i/>
      <w:iCs/>
      <w:color w:val="0F4761" w:themeColor="accent1" w:themeShade="BF"/>
    </w:rPr>
  </w:style>
  <w:style w:type="character" w:styleId="Rfrenceintense">
    <w:name w:val="Intense Reference"/>
    <w:basedOn w:val="Policepardfaut"/>
    <w:uiPriority w:val="32"/>
    <w:qFormat/>
    <w:rsid w:val="00783992"/>
    <w:rPr>
      <w:b/>
      <w:bCs/>
      <w:smallCaps/>
      <w:color w:val="0F4761" w:themeColor="accent1" w:themeShade="BF"/>
      <w:spacing w:val="5"/>
    </w:rPr>
  </w:style>
  <w:style w:type="paragraph" w:styleId="Pieddepage">
    <w:name w:val="footer"/>
    <w:basedOn w:val="Normal"/>
    <w:link w:val="PieddepageCar"/>
    <w:rsid w:val="00783992"/>
    <w:pPr>
      <w:tabs>
        <w:tab w:val="center" w:pos="4536"/>
        <w:tab w:val="right" w:pos="9072"/>
      </w:tabs>
    </w:pPr>
  </w:style>
  <w:style w:type="character" w:customStyle="1" w:styleId="PieddepageCar">
    <w:name w:val="Pied de page Car"/>
    <w:basedOn w:val="Policepardfaut"/>
    <w:link w:val="Pieddepage"/>
    <w:rsid w:val="00783992"/>
    <w:rPr>
      <w:rFonts w:ascii="Times New Roman" w:eastAsia="Times New Roman" w:hAnsi="Times New Roman" w:cs="Times New Roman"/>
      <w:lang w:eastAsia="fr-FR"/>
    </w:rPr>
  </w:style>
  <w:style w:type="character" w:styleId="Numrodepage">
    <w:name w:val="page number"/>
    <w:basedOn w:val="Policepardfaut"/>
    <w:rsid w:val="00783992"/>
  </w:style>
  <w:style w:type="paragraph" w:styleId="Textedebulles">
    <w:name w:val="Balloon Text"/>
    <w:basedOn w:val="Normal"/>
    <w:link w:val="TextedebullesCar1"/>
    <w:rsid w:val="00EA5FD2"/>
    <w:pPr>
      <w:autoSpaceDE w:val="0"/>
      <w:autoSpaceDN w:val="0"/>
    </w:pPr>
    <w:rPr>
      <w:rFonts w:ascii="Lucida Grande" w:hAnsi="Lucida Grande" w:cs="Lucida Grande"/>
      <w:sz w:val="18"/>
      <w:szCs w:val="18"/>
    </w:rPr>
  </w:style>
  <w:style w:type="character" w:customStyle="1" w:styleId="TextedebullesCar">
    <w:name w:val="Texte de bulles Car"/>
    <w:basedOn w:val="Policepardfaut"/>
    <w:uiPriority w:val="99"/>
    <w:semiHidden/>
    <w:rsid w:val="00EA5FD2"/>
    <w:rPr>
      <w:rFonts w:ascii="Times New Roman" w:eastAsia="Times New Roman" w:hAnsi="Times New Roman" w:cs="Times New Roman"/>
      <w:sz w:val="18"/>
      <w:szCs w:val="18"/>
      <w:lang w:eastAsia="fr-FR"/>
    </w:rPr>
  </w:style>
  <w:style w:type="paragraph" w:customStyle="1" w:styleId="AUTEURS">
    <w:name w:val="AUTEURS"/>
    <w:basedOn w:val="Normal"/>
    <w:rsid w:val="00EA5FD2"/>
    <w:pPr>
      <w:autoSpaceDE w:val="0"/>
      <w:autoSpaceDN w:val="0"/>
      <w:spacing w:line="220" w:lineRule="exact"/>
      <w:jc w:val="center"/>
    </w:pPr>
    <w:rPr>
      <w:rFonts w:ascii="H Franklin Gothic Heavy" w:hAnsi="H Franklin Gothic Heavy"/>
    </w:rPr>
  </w:style>
  <w:style w:type="character" w:styleId="lev">
    <w:name w:val="Strong"/>
    <w:uiPriority w:val="22"/>
    <w:qFormat/>
    <w:rsid w:val="00EA5FD2"/>
    <w:rPr>
      <w:b/>
    </w:rPr>
  </w:style>
  <w:style w:type="paragraph" w:customStyle="1" w:styleId="ENCINTER">
    <w:name w:val="ENC INTER"/>
    <w:basedOn w:val="Normal"/>
    <w:rsid w:val="00EA5FD2"/>
    <w:pPr>
      <w:autoSpaceDE w:val="0"/>
      <w:autoSpaceDN w:val="0"/>
      <w:spacing w:line="190" w:lineRule="exact"/>
      <w:ind w:left="567" w:right="284"/>
    </w:pPr>
    <w:rPr>
      <w:rFonts w:ascii="H Franklin Gothic Heavy" w:hAnsi="H Franklin Gothic Heavy"/>
      <w:caps/>
      <w:sz w:val="17"/>
      <w:szCs w:val="17"/>
    </w:rPr>
  </w:style>
  <w:style w:type="paragraph" w:customStyle="1" w:styleId="ENCTEXTE">
    <w:name w:val="ENC TEXTE"/>
    <w:basedOn w:val="Normal"/>
    <w:rsid w:val="00EA5FD2"/>
    <w:pPr>
      <w:autoSpaceDE w:val="0"/>
      <w:autoSpaceDN w:val="0"/>
      <w:spacing w:line="190" w:lineRule="exact"/>
      <w:ind w:left="567" w:right="284"/>
    </w:pPr>
    <w:rPr>
      <w:rFonts w:ascii="Bliss-Medium" w:hAnsi="Bliss-Medium"/>
      <w:sz w:val="17"/>
      <w:szCs w:val="17"/>
    </w:rPr>
  </w:style>
  <w:style w:type="character" w:customStyle="1" w:styleId="ENCTEXTEITAL">
    <w:name w:val="ENC TEXTE ITAL"/>
    <w:rsid w:val="00EA5FD2"/>
    <w:rPr>
      <w:rFonts w:ascii="Bliss-MediumItalic" w:hAnsi="Bliss-MediumItalic"/>
      <w:sz w:val="17"/>
      <w:szCs w:val="17"/>
    </w:rPr>
  </w:style>
  <w:style w:type="paragraph" w:customStyle="1" w:styleId="GROSTITRE">
    <w:name w:val="GROS TITRE"/>
    <w:basedOn w:val="Normal"/>
    <w:rsid w:val="00EA5FD2"/>
    <w:pPr>
      <w:autoSpaceDE w:val="0"/>
      <w:autoSpaceDN w:val="0"/>
      <w:spacing w:line="560" w:lineRule="exact"/>
      <w:jc w:val="center"/>
    </w:pPr>
    <w:rPr>
      <w:rFonts w:ascii="H Franklin Gothic Heavy" w:hAnsi="H Franklin Gothic Heavy"/>
      <w:caps/>
      <w:sz w:val="52"/>
      <w:szCs w:val="52"/>
    </w:rPr>
  </w:style>
  <w:style w:type="paragraph" w:customStyle="1" w:styleId="INTER">
    <w:name w:val="INTER"/>
    <w:basedOn w:val="Normal"/>
    <w:rsid w:val="00EA5FD2"/>
    <w:pPr>
      <w:autoSpaceDE w:val="0"/>
      <w:autoSpaceDN w:val="0"/>
      <w:spacing w:line="220" w:lineRule="exact"/>
    </w:pPr>
    <w:rPr>
      <w:rFonts w:ascii="H Franklin Gothic Heavy" w:hAnsi="H Franklin Gothic Heavy"/>
      <w:b/>
    </w:rPr>
  </w:style>
  <w:style w:type="paragraph" w:customStyle="1" w:styleId="NPARTIES">
    <w:name w:val="N° PARTIE(S)"/>
    <w:basedOn w:val="Normal"/>
    <w:rsid w:val="00EA5FD2"/>
    <w:pPr>
      <w:autoSpaceDE w:val="0"/>
      <w:autoSpaceDN w:val="0"/>
      <w:spacing w:line="220" w:lineRule="exact"/>
    </w:pPr>
    <w:rPr>
      <w:rFonts w:ascii="H Franklin Gothic Heavy" w:hAnsi="H Franklin Gothic Heavy"/>
      <w:caps/>
      <w:sz w:val="26"/>
      <w:szCs w:val="26"/>
    </w:rPr>
  </w:style>
  <w:style w:type="paragraph" w:customStyle="1" w:styleId="NOMCOLLECTION">
    <w:name w:val="NOM COLLECTION"/>
    <w:basedOn w:val="AUTEURS"/>
    <w:rsid w:val="00EA5FD2"/>
    <w:rPr>
      <w:caps/>
    </w:rPr>
  </w:style>
  <w:style w:type="paragraph" w:customStyle="1" w:styleId="NOMDIRECTEURDECOLLECTION">
    <w:name w:val="NOM DIRECTEUR DE COLLECTION"/>
    <w:basedOn w:val="AUTEURS"/>
    <w:rsid w:val="00EA5FD2"/>
    <w:rPr>
      <w:rFonts w:ascii="HI Franklin Gothic HeavyOblique" w:hAnsi="HI Franklin Gothic HeavyOblique"/>
    </w:rPr>
  </w:style>
  <w:style w:type="paragraph" w:customStyle="1" w:styleId="TITRECHAP">
    <w:name w:val="TITRE CHAP"/>
    <w:basedOn w:val="Normal"/>
    <w:rsid w:val="00EA5FD2"/>
    <w:pPr>
      <w:autoSpaceDE w:val="0"/>
      <w:autoSpaceDN w:val="0"/>
      <w:spacing w:line="260" w:lineRule="exact"/>
    </w:pPr>
    <w:rPr>
      <w:rFonts w:ascii="H Franklin Gothic Heavy" w:hAnsi="H Franklin Gothic Heavy"/>
      <w:sz w:val="26"/>
      <w:szCs w:val="26"/>
    </w:rPr>
  </w:style>
  <w:style w:type="paragraph" w:customStyle="1" w:styleId="TEXTECOURANT">
    <w:name w:val="TEXTE COURANT"/>
    <w:basedOn w:val="TITRECHAP"/>
    <w:rsid w:val="00EA5FD2"/>
    <w:pPr>
      <w:spacing w:line="230" w:lineRule="exact"/>
      <w:jc w:val="both"/>
    </w:pPr>
    <w:rPr>
      <w:rFonts w:ascii="Bliss-Regular" w:hAnsi="Bliss-Regular"/>
      <w:sz w:val="20"/>
      <w:szCs w:val="20"/>
    </w:rPr>
  </w:style>
  <w:style w:type="paragraph" w:styleId="Notedebasdepage">
    <w:name w:val="footnote text"/>
    <w:aliases w:val="Note de bas de page Car Car Car Car Car Car Car Car Car Car Car,Note de bas de page Car Car Car,Note de bas de page Car Car Car Car Car Car Car Car,Note de bas de page3 Car,Note de bas de page3 Car Car,Footnote Text Char1,ft,Car11,fn"/>
    <w:basedOn w:val="TEXTECOURANT"/>
    <w:link w:val="NotedebasdepageCar"/>
    <w:uiPriority w:val="99"/>
    <w:qFormat/>
    <w:rsid w:val="00EA5FD2"/>
    <w:pPr>
      <w:spacing w:line="200" w:lineRule="exact"/>
    </w:pPr>
    <w:rPr>
      <w:color w:val="FF0000"/>
      <w:sz w:val="16"/>
    </w:rPr>
  </w:style>
  <w:style w:type="character" w:customStyle="1" w:styleId="NotedebasdepageCar">
    <w:name w:val="Note de bas de page Car"/>
    <w:aliases w:val="Note de bas de page Car Car Car Car Car Car Car Car Car Car Car Car,Note de bas de page Car Car Car Car,Note de bas de page Car Car Car Car Car Car Car Car Car,Note de bas de page3 Car Car1,Note de bas de page3 Car Car Car,ft Car"/>
    <w:basedOn w:val="Policepardfaut"/>
    <w:link w:val="Notedebasdepage"/>
    <w:uiPriority w:val="99"/>
    <w:rsid w:val="00EA5FD2"/>
    <w:rPr>
      <w:rFonts w:ascii="Bliss-Regular" w:eastAsia="Times New Roman" w:hAnsi="Bliss-Regular" w:cs="Times New Roman"/>
      <w:color w:val="FF0000"/>
      <w:sz w:val="16"/>
      <w:szCs w:val="20"/>
      <w:lang w:eastAsia="fr-FR"/>
    </w:rPr>
  </w:style>
  <w:style w:type="character" w:customStyle="1" w:styleId="TEXTECOURANTITAL">
    <w:name w:val="TEXTE COURANT ITAL"/>
    <w:rsid w:val="00EA5FD2"/>
    <w:rPr>
      <w:rFonts w:ascii="Bliss-Italic" w:hAnsi="Bliss-Italic"/>
      <w:i/>
      <w:sz w:val="20"/>
      <w:szCs w:val="20"/>
    </w:rPr>
  </w:style>
  <w:style w:type="character" w:customStyle="1" w:styleId="NOTEDEBASDEPAGEITAL">
    <w:name w:val="NOTE DE BAS DE PAGE ITAL"/>
    <w:rsid w:val="00EA5FD2"/>
    <w:rPr>
      <w:rFonts w:ascii="Bliss-Italic" w:hAnsi="Bliss-Italic"/>
      <w:i/>
      <w:sz w:val="16"/>
      <w:szCs w:val="16"/>
    </w:rPr>
  </w:style>
  <w:style w:type="paragraph" w:customStyle="1" w:styleId="SOMMAIREINTER">
    <w:name w:val="SOMMAIRE INTER"/>
    <w:basedOn w:val="Normal"/>
    <w:rsid w:val="00EA5FD2"/>
    <w:pPr>
      <w:autoSpaceDE w:val="0"/>
      <w:autoSpaceDN w:val="0"/>
      <w:spacing w:line="220" w:lineRule="exact"/>
    </w:pPr>
    <w:rPr>
      <w:rFonts w:ascii="H Franklin Gothic Heavy" w:hAnsi="H Franklin Gothic Heavy"/>
      <w:b/>
      <w:sz w:val="21"/>
      <w:szCs w:val="21"/>
    </w:rPr>
  </w:style>
  <w:style w:type="paragraph" w:customStyle="1" w:styleId="SOMMAIREPARTIE">
    <w:name w:val="SOMMAIRE PARTIE"/>
    <w:basedOn w:val="Normal"/>
    <w:rsid w:val="00EA5FD2"/>
    <w:pPr>
      <w:autoSpaceDE w:val="0"/>
      <w:autoSpaceDN w:val="0"/>
      <w:spacing w:line="220" w:lineRule="exact"/>
    </w:pPr>
    <w:rPr>
      <w:rFonts w:ascii="H Franklin Gothic Heavy" w:hAnsi="H Franklin Gothic Heavy"/>
      <w:caps/>
      <w:sz w:val="20"/>
      <w:szCs w:val="20"/>
    </w:rPr>
  </w:style>
  <w:style w:type="paragraph" w:customStyle="1" w:styleId="SOMMAIRESOUSINTER">
    <w:name w:val="SOMMAIRE SOUS INTER"/>
    <w:basedOn w:val="Normal"/>
    <w:rsid w:val="00EA5FD2"/>
    <w:pPr>
      <w:autoSpaceDE w:val="0"/>
      <w:autoSpaceDN w:val="0"/>
      <w:spacing w:line="180" w:lineRule="exact"/>
    </w:pPr>
    <w:rPr>
      <w:rFonts w:ascii="H Franklin Gothic Heavy" w:hAnsi="H Franklin Gothic Heavy"/>
      <w:b/>
      <w:sz w:val="20"/>
      <w:szCs w:val="20"/>
    </w:rPr>
  </w:style>
  <w:style w:type="paragraph" w:customStyle="1" w:styleId="SOMMAIRETEXTE">
    <w:name w:val="SOMMAIRE TEXTE"/>
    <w:basedOn w:val="Normal"/>
    <w:rsid w:val="00EA5FD2"/>
    <w:pPr>
      <w:autoSpaceDE w:val="0"/>
      <w:autoSpaceDN w:val="0"/>
      <w:spacing w:line="220" w:lineRule="exact"/>
    </w:pPr>
    <w:rPr>
      <w:rFonts w:ascii="Bliss-Regular" w:hAnsi="Bliss-Regular"/>
      <w:sz w:val="18"/>
      <w:szCs w:val="18"/>
    </w:rPr>
  </w:style>
  <w:style w:type="paragraph" w:customStyle="1" w:styleId="SOMMAIRETEXTEITAL">
    <w:name w:val="SOMMAIRE TEXTE ITAL"/>
    <w:basedOn w:val="Normal"/>
    <w:rsid w:val="00EA5FD2"/>
    <w:pPr>
      <w:autoSpaceDE w:val="0"/>
      <w:autoSpaceDN w:val="0"/>
      <w:spacing w:line="220" w:lineRule="exact"/>
    </w:pPr>
    <w:rPr>
      <w:rFonts w:ascii="Bliss-Italic" w:hAnsi="Bliss-Italic"/>
      <w:i/>
      <w:sz w:val="18"/>
      <w:szCs w:val="18"/>
    </w:rPr>
  </w:style>
  <w:style w:type="paragraph" w:customStyle="1" w:styleId="SOMMAIRETITRE">
    <w:name w:val="SOMMAIRE TITRE"/>
    <w:basedOn w:val="Normal"/>
    <w:rsid w:val="00EA5FD2"/>
    <w:pPr>
      <w:autoSpaceDE w:val="0"/>
      <w:autoSpaceDN w:val="0"/>
      <w:spacing w:line="560" w:lineRule="exact"/>
      <w:jc w:val="right"/>
    </w:pPr>
    <w:rPr>
      <w:rFonts w:ascii="H Franklin Gothic Heavy" w:hAnsi="H Franklin Gothic Heavy"/>
      <w:caps/>
      <w:sz w:val="30"/>
      <w:szCs w:val="30"/>
    </w:rPr>
  </w:style>
  <w:style w:type="paragraph" w:customStyle="1" w:styleId="SOUSINTER">
    <w:name w:val="SOUS INTER"/>
    <w:basedOn w:val="Normal"/>
    <w:rsid w:val="00EA5FD2"/>
    <w:pPr>
      <w:autoSpaceDE w:val="0"/>
      <w:autoSpaceDN w:val="0"/>
      <w:spacing w:line="220" w:lineRule="exact"/>
    </w:pPr>
    <w:rPr>
      <w:rFonts w:ascii="HI Franklin Gothic HeavyOblique" w:hAnsi="HI Franklin Gothic HeavyOblique"/>
      <w:sz w:val="20"/>
      <w:szCs w:val="20"/>
    </w:rPr>
  </w:style>
  <w:style w:type="character" w:customStyle="1" w:styleId="TEXTECOURANTGRAS">
    <w:name w:val="TEXTE COURANT GRAS"/>
    <w:rsid w:val="00EA5FD2"/>
    <w:rPr>
      <w:rFonts w:ascii="Bliss-Bold" w:hAnsi="Bliss-Bold"/>
      <w:b/>
      <w:sz w:val="20"/>
      <w:szCs w:val="20"/>
    </w:rPr>
  </w:style>
  <w:style w:type="character" w:customStyle="1" w:styleId="TEXTECOURANTGRASITAL">
    <w:name w:val="TEXTE COURANT GRAS ITAL"/>
    <w:rsid w:val="00EA5FD2"/>
    <w:rPr>
      <w:rFonts w:ascii="Bliss-BoldItalic" w:hAnsi="Bliss-BoldItalic"/>
      <w:b/>
      <w:i/>
      <w:sz w:val="20"/>
      <w:szCs w:val="20"/>
    </w:rPr>
  </w:style>
  <w:style w:type="character" w:customStyle="1" w:styleId="TextedebullesCar1">
    <w:name w:val="Texte de bulles Car1"/>
    <w:basedOn w:val="Policepardfaut"/>
    <w:link w:val="Textedebulles"/>
    <w:rsid w:val="00EA5FD2"/>
    <w:rPr>
      <w:rFonts w:ascii="Lucida Grande" w:eastAsia="Times New Roman" w:hAnsi="Lucida Grande" w:cs="Lucida Grande"/>
      <w:sz w:val="18"/>
      <w:szCs w:val="18"/>
      <w:lang w:eastAsia="fr-FR"/>
    </w:rPr>
  </w:style>
  <w:style w:type="character" w:styleId="Appelnotedebasdep">
    <w:name w:val="footnote reference"/>
    <w:aliases w:val="note de bas de p.,Ref,de nota al pie,-E Fußnotenzeichen,-E Funotenzeichen,SUPERS,BVI fnr,Appel note de bas de page,Ref1,de nota al pie1,Ref2,de nota al pie2,Ref3,de nota al pie3,Ref4,de nota al pie4,Ref5,de nota al pie5,Ref6,Ref7"/>
    <w:uiPriority w:val="99"/>
    <w:qFormat/>
    <w:rsid w:val="00EA5FD2"/>
    <w:rPr>
      <w:vertAlign w:val="superscript"/>
    </w:rPr>
  </w:style>
  <w:style w:type="paragraph" w:customStyle="1" w:styleId="al1">
    <w:name w:val="al1"/>
    <w:basedOn w:val="Normal"/>
    <w:rsid w:val="00EA5FD2"/>
    <w:pPr>
      <w:autoSpaceDE w:val="0"/>
      <w:autoSpaceDN w:val="0"/>
      <w:spacing w:before="100" w:beforeAutospacing="1" w:after="75"/>
      <w:jc w:val="both"/>
    </w:pPr>
    <w:rPr>
      <w:rFonts w:ascii="Times" w:hAnsi="Times" w:cs="Times"/>
      <w:color w:val="000000"/>
      <w:sz w:val="18"/>
      <w:szCs w:val="18"/>
    </w:rPr>
  </w:style>
  <w:style w:type="character" w:styleId="Lienhypertexte">
    <w:name w:val="Hyperlink"/>
    <w:basedOn w:val="Policepardfaut"/>
    <w:uiPriority w:val="99"/>
    <w:unhideWhenUsed/>
    <w:rsid w:val="00EA5FD2"/>
    <w:rPr>
      <w:color w:val="467886" w:themeColor="hyperlink"/>
      <w:u w:val="single"/>
    </w:rPr>
  </w:style>
  <w:style w:type="paragraph" w:styleId="NormalWeb">
    <w:name w:val="Normal (Web)"/>
    <w:basedOn w:val="Normal"/>
    <w:uiPriority w:val="99"/>
    <w:rsid w:val="00EA5FD2"/>
    <w:pPr>
      <w:spacing w:before="100" w:beforeAutospacing="1" w:after="100" w:afterAutospacing="1"/>
    </w:pPr>
  </w:style>
  <w:style w:type="paragraph" w:customStyle="1" w:styleId="elschapeau">
    <w:name w:val="els_chapeau"/>
    <w:basedOn w:val="Normal"/>
    <w:rsid w:val="00EA5FD2"/>
    <w:pPr>
      <w:spacing w:before="100" w:beforeAutospacing="1" w:after="100" w:afterAutospacing="1"/>
    </w:pPr>
  </w:style>
  <w:style w:type="paragraph" w:styleId="En-tte">
    <w:name w:val="header"/>
    <w:basedOn w:val="Normal"/>
    <w:link w:val="En-tteCar"/>
    <w:uiPriority w:val="99"/>
    <w:semiHidden/>
    <w:unhideWhenUsed/>
    <w:rsid w:val="00EA5FD2"/>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semiHidden/>
    <w:rsid w:val="00EA5FD2"/>
    <w:rPr>
      <w:sz w:val="22"/>
      <w:szCs w:val="22"/>
    </w:rPr>
  </w:style>
  <w:style w:type="paragraph" w:customStyle="1" w:styleId="Body1">
    <w:name w:val="Body 1"/>
    <w:rsid w:val="00EA5FD2"/>
    <w:pPr>
      <w:outlineLvl w:val="0"/>
    </w:pPr>
    <w:rPr>
      <w:rFonts w:eastAsia="Arial Unicode MS"/>
      <w:color w:val="000000"/>
      <w:szCs w:val="20"/>
      <w:u w:color="000000"/>
    </w:rPr>
  </w:style>
  <w:style w:type="paragraph" w:customStyle="1" w:styleId="accueilgras">
    <w:name w:val="accueilgras"/>
    <w:basedOn w:val="Normal"/>
    <w:rsid w:val="00EA5FD2"/>
    <w:pPr>
      <w:spacing w:before="100" w:beforeAutospacing="1" w:after="100" w:afterAutospacing="1"/>
      <w:jc w:val="both"/>
    </w:pPr>
    <w:rPr>
      <w:rFonts w:ascii="Arial" w:hAnsi="Arial" w:cs="Arial"/>
      <w:b/>
      <w:bCs/>
      <w:color w:val="000000"/>
      <w:sz w:val="20"/>
      <w:szCs w:val="20"/>
    </w:rPr>
  </w:style>
  <w:style w:type="paragraph" w:customStyle="1" w:styleId="Al">
    <w:name w:val="Al"/>
    <w:uiPriority w:val="99"/>
    <w:rsid w:val="00EA5FD2"/>
    <w:pPr>
      <w:widowControl w:val="0"/>
      <w:autoSpaceDE w:val="0"/>
      <w:autoSpaceDN w:val="0"/>
      <w:adjustRightInd w:val="0"/>
      <w:spacing w:before="100" w:line="180" w:lineRule="exact"/>
      <w:jc w:val="both"/>
    </w:pPr>
    <w:rPr>
      <w:rFonts w:ascii="Times" w:hAnsi="Times" w:cs="Times"/>
      <w:sz w:val="18"/>
      <w:szCs w:val="18"/>
    </w:rPr>
  </w:style>
  <w:style w:type="paragraph" w:customStyle="1" w:styleId="Pnum">
    <w:name w:val="Pnum"/>
    <w:next w:val="Al"/>
    <w:uiPriority w:val="99"/>
    <w:rsid w:val="00EA5FD2"/>
    <w:pPr>
      <w:widowControl w:val="0"/>
      <w:numPr>
        <w:numId w:val="2"/>
      </w:numPr>
      <w:autoSpaceDE w:val="0"/>
      <w:autoSpaceDN w:val="0"/>
      <w:adjustRightInd w:val="0"/>
      <w:spacing w:before="200" w:line="180" w:lineRule="exact"/>
      <w:jc w:val="both"/>
    </w:pPr>
    <w:rPr>
      <w:rFonts w:ascii="Univers 45 Light" w:hAnsi="Univers 45 Light" w:cs="Univers 45 Light"/>
      <w:b/>
      <w:bCs/>
      <w:sz w:val="17"/>
      <w:szCs w:val="17"/>
    </w:rPr>
  </w:style>
  <w:style w:type="character" w:customStyle="1" w:styleId="losange">
    <w:name w:val="losange"/>
    <w:uiPriority w:val="99"/>
    <w:rsid w:val="00EA5FD2"/>
    <w:rPr>
      <w:rFonts w:ascii="Wingdings" w:hAnsi="Wingdings" w:cs="Wingdings"/>
      <w:color w:val="666666"/>
      <w:sz w:val="13"/>
      <w:szCs w:val="13"/>
    </w:rPr>
  </w:style>
  <w:style w:type="character" w:customStyle="1" w:styleId="Carr">
    <w:name w:val="Carré"/>
    <w:uiPriority w:val="99"/>
    <w:rsid w:val="00EA5FD2"/>
    <w:rPr>
      <w:rFonts w:ascii="Wingdings" w:hAnsi="Wingdings" w:cs="Wingdings"/>
      <w:color w:val="666666"/>
      <w:sz w:val="12"/>
      <w:szCs w:val="12"/>
    </w:rPr>
  </w:style>
  <w:style w:type="character" w:customStyle="1" w:styleId="TexteAl">
    <w:name w:val="TexteAl"/>
    <w:uiPriority w:val="99"/>
    <w:rsid w:val="00EA5FD2"/>
    <w:rPr>
      <w:rFonts w:ascii="Times" w:hAnsi="Times" w:cs="Times"/>
      <w:sz w:val="18"/>
      <w:szCs w:val="18"/>
    </w:rPr>
  </w:style>
  <w:style w:type="paragraph" w:customStyle="1" w:styleId="5-GrandA">
    <w:name w:val="5 - Grand A"/>
    <w:basedOn w:val="Normal"/>
    <w:link w:val="5-GrandACar"/>
    <w:rsid w:val="00EA5FD2"/>
    <w:pPr>
      <w:tabs>
        <w:tab w:val="left" w:pos="567"/>
      </w:tabs>
      <w:spacing w:line="312" w:lineRule="auto"/>
      <w:ind w:left="1134"/>
      <w:jc w:val="both"/>
    </w:pPr>
    <w:rPr>
      <w:rFonts w:ascii="Arial" w:hAnsi="Arial" w:cs="Arial"/>
      <w:sz w:val="20"/>
      <w:szCs w:val="20"/>
      <w:u w:val="single"/>
    </w:rPr>
  </w:style>
  <w:style w:type="paragraph" w:customStyle="1" w:styleId="6-Petit1">
    <w:name w:val="6 - Petit 1"/>
    <w:basedOn w:val="Normal"/>
    <w:rsid w:val="00EA5FD2"/>
    <w:pPr>
      <w:tabs>
        <w:tab w:val="left" w:pos="567"/>
      </w:tabs>
      <w:spacing w:line="312" w:lineRule="auto"/>
      <w:ind w:left="1701"/>
      <w:jc w:val="both"/>
    </w:pPr>
    <w:rPr>
      <w:rFonts w:ascii="Arial" w:hAnsi="Arial" w:cs="Arial"/>
      <w:sz w:val="20"/>
      <w:szCs w:val="20"/>
      <w:u w:val="single"/>
    </w:rPr>
  </w:style>
  <w:style w:type="paragraph" w:customStyle="1" w:styleId="3-Section">
    <w:name w:val="3 - Section"/>
    <w:basedOn w:val="Normal"/>
    <w:rsid w:val="00EA5FD2"/>
    <w:pPr>
      <w:tabs>
        <w:tab w:val="left" w:pos="567"/>
      </w:tabs>
      <w:spacing w:line="312" w:lineRule="auto"/>
      <w:jc w:val="both"/>
    </w:pPr>
    <w:rPr>
      <w:rFonts w:ascii="Arial" w:hAnsi="Arial" w:cs="Arial"/>
      <w:b/>
      <w:bCs/>
      <w:sz w:val="20"/>
      <w:szCs w:val="20"/>
      <w:u w:val="single"/>
    </w:rPr>
  </w:style>
  <w:style w:type="paragraph" w:customStyle="1" w:styleId="4-GrandI">
    <w:name w:val="4 - Grand I"/>
    <w:basedOn w:val="Normal"/>
    <w:rsid w:val="00F56461"/>
    <w:pPr>
      <w:tabs>
        <w:tab w:val="left" w:pos="567"/>
      </w:tabs>
      <w:spacing w:line="312" w:lineRule="auto"/>
      <w:ind w:left="567"/>
      <w:jc w:val="both"/>
    </w:pPr>
    <w:rPr>
      <w:rFonts w:ascii="Arial" w:hAnsi="Arial" w:cs="Arial"/>
      <w:b/>
      <w:bCs/>
      <w:sz w:val="20"/>
      <w:szCs w:val="20"/>
      <w:u w:val="single"/>
    </w:rPr>
  </w:style>
  <w:style w:type="paragraph" w:customStyle="1" w:styleId="2-Chapitre">
    <w:name w:val="2 - Chapitre"/>
    <w:basedOn w:val="Normal"/>
    <w:rsid w:val="00EA5FD2"/>
    <w:pPr>
      <w:pBdr>
        <w:top w:val="single" w:sz="6" w:space="4" w:color="auto"/>
        <w:left w:val="single" w:sz="6" w:space="4" w:color="auto"/>
        <w:bottom w:val="single" w:sz="6" w:space="4" w:color="auto"/>
        <w:right w:val="single" w:sz="6" w:space="4" w:color="auto"/>
      </w:pBdr>
      <w:tabs>
        <w:tab w:val="left" w:pos="567"/>
      </w:tabs>
      <w:spacing w:before="480" w:after="480" w:line="312" w:lineRule="auto"/>
      <w:jc w:val="center"/>
    </w:pPr>
    <w:rPr>
      <w:rFonts w:ascii="Arial" w:hAnsi="Arial" w:cs="Arial"/>
      <w:b/>
      <w:bCs/>
      <w:caps/>
      <w:sz w:val="36"/>
      <w:szCs w:val="36"/>
    </w:rPr>
  </w:style>
  <w:style w:type="paragraph" w:styleId="TM1">
    <w:name w:val="toc 1"/>
    <w:basedOn w:val="Normal"/>
    <w:next w:val="Normal"/>
    <w:autoRedefine/>
    <w:uiPriority w:val="39"/>
    <w:unhideWhenUsed/>
    <w:rsid w:val="0083776A"/>
    <w:pPr>
      <w:tabs>
        <w:tab w:val="right" w:leader="dot" w:pos="9056"/>
      </w:tabs>
      <w:spacing w:before="120" w:line="276" w:lineRule="auto"/>
    </w:pPr>
    <w:rPr>
      <w:rFonts w:asciiTheme="minorHAnsi" w:eastAsiaTheme="minorHAnsi" w:hAnsiTheme="minorHAnsi" w:cstheme="minorHAnsi"/>
      <w:b/>
      <w:bCs/>
      <w:i/>
      <w:iCs/>
      <w:szCs w:val="28"/>
      <w:lang w:eastAsia="en-US"/>
    </w:rPr>
  </w:style>
  <w:style w:type="paragraph" w:styleId="TM2">
    <w:name w:val="toc 2"/>
    <w:basedOn w:val="Normal"/>
    <w:next w:val="Normal"/>
    <w:autoRedefine/>
    <w:uiPriority w:val="39"/>
    <w:unhideWhenUsed/>
    <w:rsid w:val="00EA5FD2"/>
    <w:pPr>
      <w:spacing w:before="120" w:line="276" w:lineRule="auto"/>
      <w:ind w:left="220"/>
    </w:pPr>
    <w:rPr>
      <w:rFonts w:asciiTheme="minorHAnsi" w:eastAsiaTheme="minorHAnsi" w:hAnsiTheme="minorHAnsi" w:cstheme="minorHAnsi"/>
      <w:b/>
      <w:bCs/>
      <w:sz w:val="22"/>
      <w:szCs w:val="26"/>
      <w:lang w:eastAsia="en-US"/>
    </w:rPr>
  </w:style>
  <w:style w:type="paragraph" w:styleId="TM3">
    <w:name w:val="toc 3"/>
    <w:basedOn w:val="Normal"/>
    <w:next w:val="Normal"/>
    <w:autoRedefine/>
    <w:uiPriority w:val="39"/>
    <w:unhideWhenUsed/>
    <w:rsid w:val="00EA5FD2"/>
    <w:pPr>
      <w:spacing w:line="276" w:lineRule="auto"/>
      <w:ind w:left="440"/>
    </w:pPr>
    <w:rPr>
      <w:rFonts w:asciiTheme="minorHAnsi" w:eastAsiaTheme="minorHAnsi" w:hAnsiTheme="minorHAnsi" w:cstheme="minorHAnsi"/>
      <w:sz w:val="20"/>
      <w:lang w:eastAsia="en-US"/>
    </w:rPr>
  </w:style>
  <w:style w:type="paragraph" w:styleId="TM4">
    <w:name w:val="toc 4"/>
    <w:basedOn w:val="Normal"/>
    <w:next w:val="Normal"/>
    <w:autoRedefine/>
    <w:uiPriority w:val="39"/>
    <w:unhideWhenUsed/>
    <w:rsid w:val="00EA5FD2"/>
    <w:pPr>
      <w:spacing w:line="276" w:lineRule="auto"/>
      <w:ind w:left="660"/>
    </w:pPr>
    <w:rPr>
      <w:rFonts w:asciiTheme="minorHAnsi" w:eastAsiaTheme="minorHAnsi" w:hAnsiTheme="minorHAnsi" w:cstheme="minorHAnsi"/>
      <w:sz w:val="20"/>
      <w:lang w:eastAsia="en-US"/>
    </w:rPr>
  </w:style>
  <w:style w:type="paragraph" w:styleId="TM5">
    <w:name w:val="toc 5"/>
    <w:basedOn w:val="Normal"/>
    <w:next w:val="Normal"/>
    <w:autoRedefine/>
    <w:uiPriority w:val="39"/>
    <w:unhideWhenUsed/>
    <w:rsid w:val="00EA5FD2"/>
    <w:pPr>
      <w:spacing w:line="276" w:lineRule="auto"/>
      <w:ind w:left="880"/>
    </w:pPr>
    <w:rPr>
      <w:rFonts w:asciiTheme="minorHAnsi" w:eastAsiaTheme="minorHAnsi" w:hAnsiTheme="minorHAnsi" w:cstheme="minorHAnsi"/>
      <w:sz w:val="20"/>
      <w:lang w:eastAsia="en-US"/>
    </w:rPr>
  </w:style>
  <w:style w:type="paragraph" w:styleId="TM6">
    <w:name w:val="toc 6"/>
    <w:basedOn w:val="Normal"/>
    <w:next w:val="Normal"/>
    <w:autoRedefine/>
    <w:uiPriority w:val="39"/>
    <w:unhideWhenUsed/>
    <w:rsid w:val="00EA5FD2"/>
    <w:pPr>
      <w:spacing w:line="276" w:lineRule="auto"/>
      <w:ind w:left="1100"/>
    </w:pPr>
    <w:rPr>
      <w:rFonts w:asciiTheme="minorHAnsi" w:eastAsiaTheme="minorHAnsi" w:hAnsiTheme="minorHAnsi" w:cstheme="minorHAnsi"/>
      <w:sz w:val="20"/>
      <w:lang w:eastAsia="en-US"/>
    </w:rPr>
  </w:style>
  <w:style w:type="paragraph" w:styleId="TM7">
    <w:name w:val="toc 7"/>
    <w:basedOn w:val="Normal"/>
    <w:next w:val="Normal"/>
    <w:autoRedefine/>
    <w:uiPriority w:val="39"/>
    <w:unhideWhenUsed/>
    <w:rsid w:val="00EA5FD2"/>
    <w:pPr>
      <w:spacing w:line="276" w:lineRule="auto"/>
      <w:ind w:left="1320"/>
    </w:pPr>
    <w:rPr>
      <w:rFonts w:asciiTheme="minorHAnsi" w:eastAsiaTheme="minorHAnsi" w:hAnsiTheme="minorHAnsi" w:cstheme="minorHAnsi"/>
      <w:sz w:val="20"/>
      <w:lang w:eastAsia="en-US"/>
    </w:rPr>
  </w:style>
  <w:style w:type="paragraph" w:styleId="TM8">
    <w:name w:val="toc 8"/>
    <w:basedOn w:val="Normal"/>
    <w:next w:val="Normal"/>
    <w:autoRedefine/>
    <w:uiPriority w:val="39"/>
    <w:unhideWhenUsed/>
    <w:rsid w:val="00EA5FD2"/>
    <w:pPr>
      <w:spacing w:line="276" w:lineRule="auto"/>
      <w:ind w:left="1540"/>
    </w:pPr>
    <w:rPr>
      <w:rFonts w:asciiTheme="minorHAnsi" w:eastAsiaTheme="minorHAnsi" w:hAnsiTheme="minorHAnsi" w:cstheme="minorHAnsi"/>
      <w:sz w:val="20"/>
      <w:lang w:eastAsia="en-US"/>
    </w:rPr>
  </w:style>
  <w:style w:type="paragraph" w:styleId="TM9">
    <w:name w:val="toc 9"/>
    <w:basedOn w:val="Normal"/>
    <w:next w:val="Normal"/>
    <w:autoRedefine/>
    <w:uiPriority w:val="39"/>
    <w:unhideWhenUsed/>
    <w:rsid w:val="00EA5FD2"/>
    <w:pPr>
      <w:spacing w:line="276" w:lineRule="auto"/>
      <w:ind w:left="1760"/>
    </w:pPr>
    <w:rPr>
      <w:rFonts w:asciiTheme="minorHAnsi" w:eastAsiaTheme="minorHAnsi" w:hAnsiTheme="minorHAnsi" w:cstheme="minorHAnsi"/>
      <w:sz w:val="20"/>
      <w:lang w:eastAsia="en-US"/>
    </w:rPr>
  </w:style>
  <w:style w:type="character" w:customStyle="1" w:styleId="5-GrandACar">
    <w:name w:val="5 - Grand A Car"/>
    <w:basedOn w:val="Policepardfaut"/>
    <w:link w:val="5-GrandA"/>
    <w:rsid w:val="00EA5FD2"/>
    <w:rPr>
      <w:rFonts w:ascii="Arial" w:eastAsia="Times New Roman" w:hAnsi="Arial" w:cs="Arial"/>
      <w:sz w:val="20"/>
      <w:szCs w:val="20"/>
      <w:u w:val="single"/>
      <w:lang w:eastAsia="fr-FR"/>
    </w:rPr>
  </w:style>
  <w:style w:type="paragraph" w:styleId="Corpsdetexte">
    <w:name w:val="Body Text"/>
    <w:basedOn w:val="Normal"/>
    <w:link w:val="CorpsdetexteCar"/>
    <w:semiHidden/>
    <w:rsid w:val="00EA5FD2"/>
    <w:pPr>
      <w:tabs>
        <w:tab w:val="left" w:pos="567"/>
      </w:tabs>
      <w:spacing w:line="288" w:lineRule="auto"/>
      <w:jc w:val="both"/>
    </w:pPr>
    <w:rPr>
      <w:rFonts w:ascii="Arial" w:hAnsi="Arial" w:cs="Arial"/>
      <w:sz w:val="22"/>
      <w:szCs w:val="22"/>
    </w:rPr>
  </w:style>
  <w:style w:type="character" w:customStyle="1" w:styleId="CorpsdetexteCar">
    <w:name w:val="Corps de texte Car"/>
    <w:basedOn w:val="Policepardfaut"/>
    <w:link w:val="Corpsdetexte"/>
    <w:semiHidden/>
    <w:rsid w:val="00EA5FD2"/>
    <w:rPr>
      <w:rFonts w:ascii="Arial" w:eastAsia="Times New Roman" w:hAnsi="Arial" w:cs="Arial"/>
      <w:sz w:val="22"/>
      <w:szCs w:val="22"/>
      <w:lang w:eastAsia="fr-FR"/>
    </w:rPr>
  </w:style>
  <w:style w:type="paragraph" w:styleId="En-ttedetabledesmatires">
    <w:name w:val="TOC Heading"/>
    <w:next w:val="Normal"/>
    <w:uiPriority w:val="39"/>
    <w:unhideWhenUsed/>
    <w:qFormat/>
    <w:rsid w:val="00EA5FD2"/>
    <w:pPr>
      <w:spacing w:before="480" w:line="276" w:lineRule="auto"/>
    </w:pPr>
    <w:rPr>
      <w:b/>
      <w:bCs/>
      <w:sz w:val="28"/>
      <w:szCs w:val="28"/>
      <w:lang w:eastAsia="zh-CN"/>
    </w:rPr>
  </w:style>
  <w:style w:type="paragraph" w:customStyle="1" w:styleId="name-article">
    <w:name w:val="name-article"/>
    <w:basedOn w:val="Normal"/>
    <w:rsid w:val="00E63CDE"/>
    <w:pPr>
      <w:spacing w:before="100" w:beforeAutospacing="1" w:after="100" w:afterAutospacing="1"/>
    </w:pPr>
  </w:style>
  <w:style w:type="paragraph" w:customStyle="1" w:styleId="Date1">
    <w:name w:val="Date1"/>
    <w:basedOn w:val="Normal"/>
    <w:rsid w:val="00E63CDE"/>
    <w:pPr>
      <w:spacing w:before="100" w:beforeAutospacing="1" w:after="100" w:afterAutospacing="1"/>
    </w:pPr>
  </w:style>
  <w:style w:type="character" w:styleId="Lienhypertextesuivivisit">
    <w:name w:val="FollowedHyperlink"/>
    <w:basedOn w:val="Policepardfaut"/>
    <w:uiPriority w:val="99"/>
    <w:semiHidden/>
    <w:unhideWhenUsed/>
    <w:rsid w:val="00E63CDE"/>
    <w:rPr>
      <w:color w:val="96607D" w:themeColor="followedHyperlink"/>
      <w:u w:val="single"/>
    </w:rPr>
  </w:style>
  <w:style w:type="character" w:customStyle="1" w:styleId="apple-converted-space">
    <w:name w:val="apple-converted-space"/>
    <w:basedOn w:val="Policepardfaut"/>
    <w:rsid w:val="00E63CDE"/>
  </w:style>
  <w:style w:type="paragraph" w:customStyle="1" w:styleId="Date2">
    <w:name w:val="Date2"/>
    <w:basedOn w:val="Normal"/>
    <w:rsid w:val="00F712D8"/>
    <w:pPr>
      <w:spacing w:before="100" w:beforeAutospacing="1" w:after="100" w:afterAutospacing="1"/>
    </w:pPr>
  </w:style>
  <w:style w:type="character" w:customStyle="1" w:styleId="divfullmarge">
    <w:name w:val="divfullmarge"/>
    <w:rsid w:val="007A3533"/>
    <w:rPr>
      <w:rFonts w:cs="Times New Roman"/>
    </w:rPr>
  </w:style>
  <w:style w:type="character" w:styleId="Accentuation">
    <w:name w:val="Emphasis"/>
    <w:uiPriority w:val="20"/>
    <w:qFormat/>
    <w:rsid w:val="00F90D1A"/>
    <w:rPr>
      <w:i/>
      <w:iCs/>
    </w:rPr>
  </w:style>
  <w:style w:type="paragraph" w:customStyle="1" w:styleId="texte">
    <w:name w:val="texte"/>
    <w:basedOn w:val="Normal"/>
    <w:rsid w:val="009733F5"/>
    <w:pPr>
      <w:spacing w:before="100" w:beforeAutospacing="1" w:after="100" w:afterAutospacing="1"/>
    </w:pPr>
  </w:style>
  <w:style w:type="paragraph" w:styleId="Sansinterligne">
    <w:name w:val="No Spacing"/>
    <w:uiPriority w:val="1"/>
    <w:qFormat/>
    <w:rsid w:val="009733F5"/>
    <w:pPr>
      <w:spacing w:before="240"/>
      <w:ind w:firstLine="170"/>
      <w:jc w:val="both"/>
    </w:pPr>
    <w:rPr>
      <w:sz w:val="22"/>
      <w:szCs w:val="22"/>
    </w:rPr>
  </w:style>
  <w:style w:type="character" w:customStyle="1" w:styleId="documentfirstua">
    <w:name w:val="documentfirstua"/>
    <w:basedOn w:val="Policepardfaut"/>
    <w:rsid w:val="009733F5"/>
  </w:style>
  <w:style w:type="character" w:customStyle="1" w:styleId="sbb9ee52a">
    <w:name w:val="sbb9ee52a"/>
    <w:rsid w:val="009733F5"/>
  </w:style>
  <w:style w:type="character" w:customStyle="1" w:styleId="sa36b60a1">
    <w:name w:val="sa36b60a1"/>
    <w:rsid w:val="009733F5"/>
  </w:style>
  <w:style w:type="character" w:customStyle="1" w:styleId="book-header-componenttitle-text">
    <w:name w:val="book-header-component__title-text"/>
    <w:basedOn w:val="Policepardfaut"/>
    <w:rsid w:val="009733F5"/>
  </w:style>
  <w:style w:type="character" w:customStyle="1" w:styleId="book-header-componentnobr">
    <w:name w:val="book-header-component__nobr"/>
    <w:basedOn w:val="Policepardfaut"/>
    <w:rsid w:val="009733F5"/>
  </w:style>
  <w:style w:type="paragraph" w:customStyle="1" w:styleId="Ti1">
    <w:name w:val="Ti1"/>
    <w:next w:val="Al"/>
    <w:uiPriority w:val="99"/>
    <w:rsid w:val="004D7087"/>
    <w:pPr>
      <w:keepNext/>
      <w:keepLines/>
      <w:widowControl w:val="0"/>
      <w:autoSpaceDE w:val="0"/>
      <w:autoSpaceDN w:val="0"/>
      <w:adjustRightInd w:val="0"/>
      <w:spacing w:before="240" w:line="180" w:lineRule="exact"/>
    </w:pPr>
    <w:rPr>
      <w:rFonts w:ascii="Univers 45 Light" w:hAnsi="Univers 45 Light" w:cs="Univers 45 Light"/>
      <w:b/>
      <w:bCs/>
      <w:sz w:val="18"/>
      <w:szCs w:val="18"/>
    </w:rPr>
  </w:style>
  <w:style w:type="paragraph" w:customStyle="1" w:styleId="Ti2">
    <w:name w:val="Ti2"/>
    <w:next w:val="Al"/>
    <w:uiPriority w:val="99"/>
    <w:rsid w:val="004D7087"/>
    <w:pPr>
      <w:keepNext/>
      <w:keepLines/>
      <w:widowControl w:val="0"/>
      <w:autoSpaceDE w:val="0"/>
      <w:autoSpaceDN w:val="0"/>
      <w:adjustRightInd w:val="0"/>
      <w:spacing w:before="200" w:line="180" w:lineRule="exact"/>
    </w:pPr>
    <w:rPr>
      <w:rFonts w:ascii="Univers 45 Light" w:hAnsi="Univers 45 Light" w:cs="Univers 45 Light"/>
      <w:b/>
      <w:bCs/>
      <w:sz w:val="16"/>
      <w:szCs w:val="16"/>
    </w:rPr>
  </w:style>
  <w:style w:type="paragraph" w:customStyle="1" w:styleId="Chapitre">
    <w:name w:val="Chapitre"/>
    <w:uiPriority w:val="99"/>
    <w:rsid w:val="004D7087"/>
    <w:pPr>
      <w:keepNext/>
      <w:keepLines/>
      <w:widowControl w:val="0"/>
      <w:pBdr>
        <w:top w:val="single" w:sz="4" w:space="0" w:color="000000"/>
      </w:pBdr>
      <w:tabs>
        <w:tab w:val="left" w:pos="1418"/>
      </w:tabs>
      <w:autoSpaceDE w:val="0"/>
      <w:autoSpaceDN w:val="0"/>
      <w:adjustRightInd w:val="0"/>
      <w:spacing w:before="400" w:line="280" w:lineRule="exact"/>
      <w:ind w:left="1418" w:hanging="1418"/>
    </w:pPr>
    <w:rPr>
      <w:rFonts w:ascii="Univers 47 CondensedLight" w:hAnsi="Univers 47 CondensedLight" w:cs="Univers 47 CondensedLight"/>
      <w:b/>
      <w:bCs/>
      <w:sz w:val="26"/>
      <w:szCs w:val="26"/>
    </w:rPr>
  </w:style>
  <w:style w:type="paragraph" w:customStyle="1" w:styleId="Ti3">
    <w:name w:val="Ti3"/>
    <w:next w:val="Al"/>
    <w:uiPriority w:val="99"/>
    <w:rsid w:val="004D7087"/>
    <w:pPr>
      <w:keepNext/>
      <w:keepLines/>
      <w:widowControl w:val="0"/>
      <w:autoSpaceDE w:val="0"/>
      <w:autoSpaceDN w:val="0"/>
      <w:adjustRightInd w:val="0"/>
      <w:spacing w:before="180" w:line="180" w:lineRule="exact"/>
    </w:pPr>
    <w:rPr>
      <w:rFonts w:ascii="Univers 55" w:hAnsi="Univers 55" w:cs="Univers 55"/>
      <w:sz w:val="16"/>
      <w:szCs w:val="16"/>
    </w:rPr>
  </w:style>
  <w:style w:type="paragraph" w:customStyle="1" w:styleId="Partie">
    <w:name w:val="Partie"/>
    <w:next w:val="Al"/>
    <w:uiPriority w:val="99"/>
    <w:rsid w:val="004D7087"/>
    <w:pPr>
      <w:keepNext/>
      <w:keepLines/>
      <w:widowControl w:val="0"/>
      <w:pBdr>
        <w:top w:val="single" w:sz="8" w:space="0" w:color="000000"/>
      </w:pBdr>
      <w:tabs>
        <w:tab w:val="left" w:pos="1418"/>
      </w:tabs>
      <w:autoSpaceDE w:val="0"/>
      <w:autoSpaceDN w:val="0"/>
      <w:adjustRightInd w:val="0"/>
      <w:spacing w:before="600" w:line="280" w:lineRule="exact"/>
      <w:ind w:left="1418" w:hanging="1418"/>
    </w:pPr>
    <w:rPr>
      <w:rFonts w:ascii="Univers ExtraBlackExt" w:hAnsi="Univers ExtraBlackExt" w:cs="Univers ExtraBlackExt"/>
      <w:sz w:val="26"/>
      <w:szCs w:val="26"/>
    </w:rPr>
  </w:style>
  <w:style w:type="paragraph" w:customStyle="1" w:styleId="SSection">
    <w:name w:val="SSection"/>
    <w:next w:val="Al"/>
    <w:uiPriority w:val="99"/>
    <w:rsid w:val="004D7087"/>
    <w:pPr>
      <w:keepNext/>
      <w:keepLines/>
      <w:widowControl w:val="0"/>
      <w:tabs>
        <w:tab w:val="left" w:pos="1418"/>
      </w:tabs>
      <w:autoSpaceDE w:val="0"/>
      <w:autoSpaceDN w:val="0"/>
      <w:adjustRightInd w:val="0"/>
      <w:spacing w:before="240" w:line="200" w:lineRule="exact"/>
      <w:ind w:left="1418" w:hanging="1418"/>
    </w:pPr>
    <w:rPr>
      <w:rFonts w:ascii="Univers 55" w:hAnsi="Univers 55" w:cs="Univers 55"/>
      <w:b/>
      <w:bCs/>
      <w:sz w:val="18"/>
      <w:szCs w:val="18"/>
    </w:rPr>
  </w:style>
  <w:style w:type="paragraph" w:customStyle="1" w:styleId="Section">
    <w:name w:val="Section"/>
    <w:next w:val="Al"/>
    <w:uiPriority w:val="99"/>
    <w:rsid w:val="004D7087"/>
    <w:pPr>
      <w:keepNext/>
      <w:keepLines/>
      <w:widowControl w:val="0"/>
      <w:tabs>
        <w:tab w:val="left" w:pos="1418"/>
      </w:tabs>
      <w:autoSpaceDE w:val="0"/>
      <w:autoSpaceDN w:val="0"/>
      <w:adjustRightInd w:val="0"/>
      <w:spacing w:before="300" w:line="220" w:lineRule="exact"/>
      <w:ind w:left="1418" w:hanging="1418"/>
    </w:pPr>
    <w:rPr>
      <w:rFonts w:ascii="Univers 55" w:hAnsi="Univers 55" w:cs="Univers 55"/>
      <w:b/>
      <w:bCs/>
      <w:sz w:val="20"/>
      <w:szCs w:val="20"/>
    </w:rPr>
  </w:style>
  <w:style w:type="character" w:customStyle="1" w:styleId="Euro">
    <w:name w:val="Euro"/>
    <w:uiPriority w:val="99"/>
    <w:rsid w:val="004D7087"/>
    <w:rPr>
      <w:rFonts w:ascii="Euro Sans" w:hAnsi="Euro Sans" w:cs="Euro Sans"/>
    </w:rPr>
  </w:style>
  <w:style w:type="character" w:customStyle="1" w:styleId="s7d2086b4">
    <w:name w:val="s7d2086b4"/>
    <w:rsid w:val="008C4075"/>
  </w:style>
  <w:style w:type="paragraph" w:customStyle="1" w:styleId="Date3">
    <w:name w:val="Date3"/>
    <w:basedOn w:val="Normal"/>
    <w:rsid w:val="00525F7E"/>
    <w:pPr>
      <w:spacing w:before="100" w:beforeAutospacing="1" w:after="100" w:afterAutospacing="1"/>
    </w:pPr>
  </w:style>
  <w:style w:type="character" w:customStyle="1" w:styleId="colordetact">
    <w:name w:val="color_det_act"/>
    <w:basedOn w:val="Policepardfaut"/>
    <w:rsid w:val="00EB4797"/>
  </w:style>
  <w:style w:type="character" w:customStyle="1" w:styleId="surlignage">
    <w:name w:val="surlignage"/>
    <w:basedOn w:val="Policepardfaut"/>
    <w:rsid w:val="006C2AE8"/>
  </w:style>
  <w:style w:type="paragraph" w:customStyle="1" w:styleId="AlTiret">
    <w:name w:val="AlTiret"/>
    <w:uiPriority w:val="99"/>
    <w:rsid w:val="00472D5A"/>
    <w:pPr>
      <w:widowControl w:val="0"/>
      <w:numPr>
        <w:numId w:val="1"/>
      </w:numPr>
      <w:tabs>
        <w:tab w:val="left" w:pos="284"/>
      </w:tabs>
      <w:autoSpaceDE w:val="0"/>
      <w:autoSpaceDN w:val="0"/>
      <w:adjustRightInd w:val="0"/>
      <w:spacing w:before="100" w:line="180" w:lineRule="exact"/>
      <w:jc w:val="both"/>
    </w:pPr>
    <w:rPr>
      <w:rFonts w:ascii="Times" w:hAnsi="Times" w:cs="Times"/>
      <w:sz w:val="18"/>
      <w:szCs w:val="18"/>
    </w:rPr>
  </w:style>
  <w:style w:type="paragraph" w:customStyle="1" w:styleId="Rfrence">
    <w:name w:val="Référence"/>
    <w:next w:val="Al"/>
    <w:uiPriority w:val="99"/>
    <w:rsid w:val="00472D5A"/>
    <w:pPr>
      <w:widowControl w:val="0"/>
      <w:numPr>
        <w:numId w:val="3"/>
      </w:numPr>
      <w:autoSpaceDE w:val="0"/>
      <w:autoSpaceDN w:val="0"/>
      <w:adjustRightInd w:val="0"/>
      <w:spacing w:before="40" w:line="180" w:lineRule="exact"/>
      <w:ind w:left="284"/>
    </w:pPr>
    <w:rPr>
      <w:rFonts w:ascii="Times" w:hAnsi="Times" w:cs="Times"/>
      <w:i/>
      <w:iCs/>
      <w:sz w:val="18"/>
      <w:szCs w:val="18"/>
    </w:rPr>
  </w:style>
  <w:style w:type="paragraph" w:customStyle="1" w:styleId="docContentchronTITRE">
    <w:name w:val="docContent_chronTITRE"/>
    <w:basedOn w:val="Normal"/>
    <w:rsid w:val="00472D5A"/>
    <w:rPr>
      <w:b/>
      <w:bCs/>
      <w:color w:val="BB1126"/>
      <w:sz w:val="26"/>
      <w:szCs w:val="26"/>
    </w:rPr>
  </w:style>
  <w:style w:type="paragraph" w:customStyle="1" w:styleId="opened">
    <w:name w:val="opened"/>
    <w:basedOn w:val="Normal"/>
    <w:rsid w:val="00671933"/>
    <w:pPr>
      <w:spacing w:before="100" w:beforeAutospacing="1" w:after="100" w:afterAutospacing="1"/>
    </w:pPr>
  </w:style>
  <w:style w:type="character" w:customStyle="1" w:styleId="hidden-element">
    <w:name w:val="hidden-element"/>
    <w:basedOn w:val="Policepardfaut"/>
    <w:rsid w:val="00671933"/>
  </w:style>
  <w:style w:type="character" w:customStyle="1" w:styleId="print-title-summary">
    <w:name w:val="print-title-summary"/>
    <w:basedOn w:val="Policepardfaut"/>
    <w:rsid w:val="00671933"/>
  </w:style>
  <w:style w:type="paragraph" w:customStyle="1" w:styleId="item-current">
    <w:name w:val="item-current"/>
    <w:basedOn w:val="Normal"/>
    <w:rsid w:val="00671933"/>
    <w:pPr>
      <w:spacing w:before="100" w:beforeAutospacing="1" w:after="100" w:afterAutospacing="1"/>
    </w:pPr>
  </w:style>
  <w:style w:type="paragraph" w:customStyle="1" w:styleId="Date4">
    <w:name w:val="Date4"/>
    <w:basedOn w:val="Normal"/>
    <w:rsid w:val="00671933"/>
    <w:pPr>
      <w:spacing w:before="100" w:beforeAutospacing="1" w:after="100" w:afterAutospacing="1"/>
    </w:pPr>
  </w:style>
  <w:style w:type="character" w:customStyle="1" w:styleId="articlepageauthor">
    <w:name w:val="articlepage__author"/>
    <w:basedOn w:val="Policepardfaut"/>
    <w:rsid w:val="002D60FA"/>
  </w:style>
  <w:style w:type="character" w:customStyle="1" w:styleId="articlepagedate">
    <w:name w:val="articlepage__date"/>
    <w:basedOn w:val="Policepardfaut"/>
    <w:rsid w:val="002D60FA"/>
  </w:style>
  <w:style w:type="paragraph" w:customStyle="1" w:styleId="para11last">
    <w:name w:val="para11_last"/>
    <w:basedOn w:val="Normal"/>
    <w:rsid w:val="00884064"/>
    <w:pPr>
      <w:spacing w:before="100" w:beforeAutospacing="1" w:after="100" w:afterAutospacing="1"/>
    </w:pPr>
  </w:style>
  <w:style w:type="paragraph" w:customStyle="1" w:styleId="titre10">
    <w:name w:val="titre1"/>
    <w:basedOn w:val="Normal"/>
    <w:rsid w:val="00884064"/>
    <w:pPr>
      <w:spacing w:before="100" w:beforeAutospacing="1" w:after="100" w:afterAutospacing="1"/>
    </w:pPr>
  </w:style>
  <w:style w:type="character" w:customStyle="1" w:styleId="numtitre1">
    <w:name w:val="numtitre1"/>
    <w:basedOn w:val="Policepardfaut"/>
    <w:rsid w:val="00884064"/>
  </w:style>
  <w:style w:type="character" w:customStyle="1" w:styleId="labeltitre1">
    <w:name w:val="labeltitre1"/>
    <w:basedOn w:val="Policepardfaut"/>
    <w:rsid w:val="00884064"/>
  </w:style>
  <w:style w:type="paragraph" w:customStyle="1" w:styleId="para1">
    <w:name w:val="para1"/>
    <w:basedOn w:val="Normal"/>
    <w:rsid w:val="00884064"/>
    <w:pPr>
      <w:spacing w:before="100" w:beforeAutospacing="1" w:after="100" w:afterAutospacing="1"/>
    </w:pPr>
  </w:style>
  <w:style w:type="paragraph" w:customStyle="1" w:styleId="titre20">
    <w:name w:val="titre2"/>
    <w:basedOn w:val="Normal"/>
    <w:rsid w:val="00884064"/>
    <w:pPr>
      <w:spacing w:before="100" w:beforeAutospacing="1" w:after="100" w:afterAutospacing="1"/>
    </w:pPr>
  </w:style>
  <w:style w:type="character" w:customStyle="1" w:styleId="labeltitre2">
    <w:name w:val="labeltitre2"/>
    <w:basedOn w:val="Policepardfaut"/>
    <w:rsid w:val="00884064"/>
  </w:style>
  <w:style w:type="paragraph" w:customStyle="1" w:styleId="list1">
    <w:name w:val="list1"/>
    <w:basedOn w:val="Normal"/>
    <w:rsid w:val="00884064"/>
    <w:pPr>
      <w:spacing w:before="100" w:beforeAutospacing="1" w:after="100" w:afterAutospacing="1"/>
    </w:pPr>
  </w:style>
  <w:style w:type="paragraph" w:customStyle="1" w:styleId="list1last">
    <w:name w:val="list1_last"/>
    <w:basedOn w:val="Normal"/>
    <w:rsid w:val="00884064"/>
    <w:pPr>
      <w:spacing w:before="100" w:beforeAutospacing="1" w:after="100" w:afterAutospacing="1"/>
    </w:pPr>
  </w:style>
  <w:style w:type="paragraph" w:customStyle="1" w:styleId="titre30">
    <w:name w:val="titre3"/>
    <w:basedOn w:val="Normal"/>
    <w:rsid w:val="00182683"/>
    <w:pPr>
      <w:spacing w:before="100" w:beforeAutospacing="1" w:after="100" w:afterAutospacing="1"/>
    </w:pPr>
  </w:style>
  <w:style w:type="character" w:customStyle="1" w:styleId="numtitre3">
    <w:name w:val="numtitre3"/>
    <w:basedOn w:val="Policepardfaut"/>
    <w:rsid w:val="00182683"/>
  </w:style>
  <w:style w:type="character" w:customStyle="1" w:styleId="labeltitre3">
    <w:name w:val="labeltitre3"/>
    <w:basedOn w:val="Policepardfaut"/>
    <w:rsid w:val="00182683"/>
  </w:style>
  <w:style w:type="paragraph" w:customStyle="1" w:styleId="list2">
    <w:name w:val="list2"/>
    <w:basedOn w:val="Normal"/>
    <w:rsid w:val="00182683"/>
    <w:pPr>
      <w:spacing w:before="100" w:beforeAutospacing="1" w:after="100" w:afterAutospacing="1"/>
    </w:pPr>
  </w:style>
  <w:style w:type="paragraph" w:customStyle="1" w:styleId="list2last">
    <w:name w:val="list2_last"/>
    <w:basedOn w:val="Normal"/>
    <w:rsid w:val="00182683"/>
    <w:pPr>
      <w:spacing w:before="100" w:beforeAutospacing="1" w:after="100" w:afterAutospacing="1"/>
    </w:pPr>
  </w:style>
  <w:style w:type="paragraph" w:customStyle="1" w:styleId="titre40">
    <w:name w:val="titre4"/>
    <w:basedOn w:val="Normal"/>
    <w:rsid w:val="00043F23"/>
    <w:pPr>
      <w:spacing w:before="100" w:beforeAutospacing="1" w:after="100" w:afterAutospacing="1"/>
    </w:pPr>
  </w:style>
  <w:style w:type="character" w:customStyle="1" w:styleId="numtitre4">
    <w:name w:val="numtitre4"/>
    <w:basedOn w:val="Policepardfaut"/>
    <w:rsid w:val="00043F23"/>
  </w:style>
  <w:style w:type="character" w:customStyle="1" w:styleId="labeltitre4">
    <w:name w:val="labeltitre4"/>
    <w:basedOn w:val="Policepardfaut"/>
    <w:rsid w:val="00043F23"/>
  </w:style>
  <w:style w:type="character" w:styleId="Mentionnonrsolue">
    <w:name w:val="Unresolved Mention"/>
    <w:basedOn w:val="Policepardfaut"/>
    <w:uiPriority w:val="99"/>
    <w:semiHidden/>
    <w:unhideWhenUsed/>
    <w:rsid w:val="00476ADB"/>
    <w:rPr>
      <w:color w:val="605E5C"/>
      <w:shd w:val="clear" w:color="auto" w:fill="E1DFDD"/>
    </w:rPr>
  </w:style>
  <w:style w:type="paragraph" w:customStyle="1" w:styleId="Date5">
    <w:name w:val="Date5"/>
    <w:basedOn w:val="Normal"/>
    <w:rsid w:val="004D5A22"/>
    <w:pPr>
      <w:spacing w:before="100" w:beforeAutospacing="1" w:after="100" w:afterAutospacing="1"/>
    </w:pPr>
  </w:style>
  <w:style w:type="paragraph" w:customStyle="1" w:styleId="mt-3">
    <w:name w:val="mt-3"/>
    <w:basedOn w:val="Normal"/>
    <w:rsid w:val="009B4FD6"/>
    <w:pPr>
      <w:spacing w:before="100" w:beforeAutospacing="1" w:after="100" w:afterAutospacing="1"/>
    </w:pPr>
  </w:style>
  <w:style w:type="character" w:customStyle="1" w:styleId="tojoinexpression">
    <w:name w:val="to_join_expression"/>
    <w:basedOn w:val="Policepardfaut"/>
    <w:rsid w:val="009B4FD6"/>
  </w:style>
  <w:style w:type="paragraph" w:customStyle="1" w:styleId="temps-lecture">
    <w:name w:val="temps-lecture"/>
    <w:basedOn w:val="Normal"/>
    <w:rsid w:val="00307F23"/>
    <w:pPr>
      <w:spacing w:before="100" w:beforeAutospacing="1" w:after="100" w:afterAutospacing="1"/>
    </w:pPr>
  </w:style>
  <w:style w:type="paragraph" w:customStyle="1" w:styleId="citation-revue">
    <w:name w:val="citation-revue"/>
    <w:basedOn w:val="Normal"/>
    <w:rsid w:val="00307F23"/>
    <w:pPr>
      <w:spacing w:before="100" w:beforeAutospacing="1" w:after="100" w:afterAutospacing="1"/>
    </w:pPr>
  </w:style>
  <w:style w:type="character" w:customStyle="1" w:styleId="url-reference">
    <w:name w:val="url-reference"/>
    <w:basedOn w:val="Policepardfaut"/>
    <w:rsid w:val="00307F23"/>
  </w:style>
  <w:style w:type="character" w:customStyle="1" w:styleId="copy-link">
    <w:name w:val="copy-link"/>
    <w:basedOn w:val="Policepardfaut"/>
    <w:rsid w:val="00307F23"/>
  </w:style>
  <w:style w:type="character" w:customStyle="1" w:styleId="hl">
    <w:name w:val="hl"/>
    <w:basedOn w:val="Policepardfaut"/>
    <w:rsid w:val="004D4D7F"/>
  </w:style>
  <w:style w:type="paragraph" w:customStyle="1" w:styleId="p1">
    <w:name w:val="p1"/>
    <w:basedOn w:val="Normal"/>
    <w:rsid w:val="00587B7E"/>
    <w:rPr>
      <w:rFonts w:ascii="Arial" w:hAnsi="Arial" w:cs="Arial"/>
      <w:color w:val="000000"/>
      <w:sz w:val="14"/>
      <w:szCs w:val="14"/>
    </w:rPr>
  </w:style>
  <w:style w:type="paragraph" w:customStyle="1" w:styleId="Date6">
    <w:name w:val="Date6"/>
    <w:basedOn w:val="Normal"/>
    <w:rsid w:val="00C74EDD"/>
    <w:pPr>
      <w:spacing w:before="100" w:beforeAutospacing="1" w:after="100" w:afterAutospacing="1"/>
    </w:pPr>
  </w:style>
  <w:style w:type="character" w:customStyle="1" w:styleId="ptcap">
    <w:name w:val="ptcap"/>
    <w:basedOn w:val="Policepardfaut"/>
    <w:rsid w:val="00FA5F6F"/>
  </w:style>
  <w:style w:type="paragraph" w:customStyle="1" w:styleId="Date7">
    <w:name w:val="Date7"/>
    <w:basedOn w:val="Normal"/>
    <w:rsid w:val="00C14E60"/>
    <w:pPr>
      <w:spacing w:before="100" w:beforeAutospacing="1" w:after="100" w:afterAutospacing="1"/>
    </w:pPr>
  </w:style>
  <w:style w:type="character" w:customStyle="1" w:styleId="s1">
    <w:name w:val="s1"/>
    <w:basedOn w:val="Policepardfaut"/>
    <w:rsid w:val="00166A98"/>
    <w:rPr>
      <w:rFonts w:ascii="Avenir Next Condensed" w:hAnsi="Avenir Next Condensed" w:hint="default"/>
      <w:sz w:val="17"/>
      <w:szCs w:val="17"/>
    </w:rPr>
  </w:style>
  <w:style w:type="paragraph" w:customStyle="1" w:styleId="p2">
    <w:name w:val="p2"/>
    <w:basedOn w:val="Normal"/>
    <w:rsid w:val="00B1122B"/>
    <w:rPr>
      <w:rFonts w:ascii="Wingdings" w:hAnsi="Wingdings"/>
      <w:color w:val="7D1E26"/>
      <w:sz w:val="17"/>
      <w:szCs w:val="17"/>
    </w:rPr>
  </w:style>
  <w:style w:type="character" w:customStyle="1" w:styleId="s2">
    <w:name w:val="s2"/>
    <w:basedOn w:val="Policepardfaut"/>
    <w:rsid w:val="00B1122B"/>
    <w:rPr>
      <w:rFonts w:ascii="Avenir Next Condensed" w:hAnsi="Avenir Next Condensed" w:hint="default"/>
      <w:sz w:val="17"/>
      <w:szCs w:val="17"/>
    </w:rPr>
  </w:style>
  <w:style w:type="character" w:customStyle="1" w:styleId="s3">
    <w:name w:val="s3"/>
    <w:basedOn w:val="Policepardfaut"/>
    <w:rsid w:val="00B1122B"/>
    <w:rPr>
      <w:rFonts w:ascii="Avenir Next Condensed" w:hAnsi="Avenir Next Condensed" w:hint="default"/>
      <w:sz w:val="10"/>
      <w:szCs w:val="10"/>
    </w:rPr>
  </w:style>
  <w:style w:type="paragraph" w:customStyle="1" w:styleId="fr-text--bold">
    <w:name w:val="fr-text--bold"/>
    <w:basedOn w:val="Normal"/>
    <w:rsid w:val="00EA355E"/>
    <w:pPr>
      <w:spacing w:before="100" w:beforeAutospacing="1" w:after="100" w:afterAutospacing="1"/>
    </w:pPr>
  </w:style>
  <w:style w:type="paragraph" w:customStyle="1" w:styleId="7-Petita">
    <w:name w:val="7 - Petit a"/>
    <w:basedOn w:val="Normal"/>
    <w:qFormat/>
    <w:rsid w:val="00F56461"/>
    <w:pPr>
      <w:spacing w:after="120" w:line="264" w:lineRule="auto"/>
      <w:ind w:left="1985"/>
      <w:jc w:val="both"/>
    </w:pPr>
    <w:rPr>
      <w:color w:val="000000"/>
    </w:rPr>
  </w:style>
  <w:style w:type="character" w:customStyle="1" w:styleId="s29100277">
    <w:name w:val="s29100277"/>
    <w:basedOn w:val="Policepardfaut"/>
    <w:rsid w:val="00432E37"/>
  </w:style>
  <w:style w:type="character" w:customStyle="1" w:styleId="s5c5e66b9">
    <w:name w:val="s5c5e66b9"/>
    <w:basedOn w:val="Policepardfaut"/>
    <w:rsid w:val="00432E37"/>
  </w:style>
  <w:style w:type="paragraph" w:customStyle="1" w:styleId="ydp87dfaebcmsonormal">
    <w:name w:val="ydp87dfaebcmsonormal"/>
    <w:basedOn w:val="Normal"/>
    <w:rsid w:val="00C80ACC"/>
    <w:pPr>
      <w:spacing w:before="100" w:beforeAutospacing="1" w:after="100" w:afterAutospacing="1"/>
    </w:pPr>
  </w:style>
  <w:style w:type="paragraph" w:customStyle="1" w:styleId="yiv3855319178msolistparagraph">
    <w:name w:val="yiv3855319178msolistparagraph"/>
    <w:basedOn w:val="Normal"/>
    <w:rsid w:val="00C36836"/>
    <w:pPr>
      <w:spacing w:before="100" w:beforeAutospacing="1" w:after="100" w:afterAutospacing="1"/>
    </w:pPr>
  </w:style>
  <w:style w:type="paragraph" w:customStyle="1" w:styleId="yiv4277031874ydp43053f70yiv4613007573ydpea9c628cyiv7677755232msolistparagraph">
    <w:name w:val="yiv4277031874ydp43053f70yiv4613007573ydpea9c628cyiv7677755232msolistparagraph"/>
    <w:basedOn w:val="Normal"/>
    <w:rsid w:val="003A32EA"/>
    <w:pPr>
      <w:spacing w:before="100" w:beforeAutospacing="1" w:after="100" w:afterAutospacing="1"/>
    </w:pPr>
  </w:style>
  <w:style w:type="paragraph" w:customStyle="1" w:styleId="yiv4277031874ydp43053f70yiv4613007573ydpea9c628cyiv7677755232ydp87dfaebcmsonormal">
    <w:name w:val="yiv4277031874ydp43053f70yiv4613007573ydpea9c628cyiv7677755232ydp87dfaebcmsonormal"/>
    <w:basedOn w:val="Normal"/>
    <w:rsid w:val="003A32EA"/>
    <w:pPr>
      <w:spacing w:before="100" w:beforeAutospacing="1" w:after="100" w:afterAutospacing="1"/>
    </w:pPr>
  </w:style>
  <w:style w:type="paragraph" w:customStyle="1" w:styleId="yiv4277031874ydp43053f70yiv4613007573ydpea9c628cyiv7677755232ydpeccdfa39msonormal">
    <w:name w:val="yiv4277031874ydp43053f70yiv4613007573ydpea9c628cyiv7677755232ydpeccdfa39msonormal"/>
    <w:basedOn w:val="Normal"/>
    <w:rsid w:val="003A32EA"/>
    <w:pPr>
      <w:spacing w:before="100" w:beforeAutospacing="1" w:after="100" w:afterAutospacing="1"/>
    </w:pPr>
  </w:style>
  <w:style w:type="paragraph" w:customStyle="1" w:styleId="yiv4277031874ydp43053f70yiv4613007573ydpea9c628cyiv7677755232msonormal">
    <w:name w:val="yiv4277031874ydp43053f70yiv4613007573ydpea9c628cyiv7677755232msonormal"/>
    <w:basedOn w:val="Normal"/>
    <w:rsid w:val="003A32EA"/>
    <w:pPr>
      <w:spacing w:before="100" w:beforeAutospacing="1" w:after="100" w:afterAutospacing="1"/>
    </w:pPr>
  </w:style>
  <w:style w:type="paragraph" w:customStyle="1" w:styleId="yiv3855319178msonormal">
    <w:name w:val="yiv3855319178msonormal"/>
    <w:basedOn w:val="Normal"/>
    <w:rsid w:val="00FE17D2"/>
    <w:pPr>
      <w:spacing w:before="100" w:beforeAutospacing="1" w:after="100" w:afterAutospacing="1"/>
    </w:pPr>
  </w:style>
  <w:style w:type="paragraph" w:customStyle="1" w:styleId="yiv0428166419msonormal">
    <w:name w:val="yiv0428166419msonormal"/>
    <w:basedOn w:val="Normal"/>
    <w:rsid w:val="005A2813"/>
    <w:pPr>
      <w:spacing w:before="100" w:beforeAutospacing="1" w:after="100" w:afterAutospacing="1"/>
    </w:pPr>
  </w:style>
  <w:style w:type="character" w:customStyle="1" w:styleId="crs-h-huge-title">
    <w:name w:val="crs-h-huge-title"/>
    <w:basedOn w:val="Policepardfaut"/>
    <w:rsid w:val="00A13AC2"/>
  </w:style>
  <w:style w:type="character" w:customStyle="1" w:styleId="book-header-title-caselawjuridiction">
    <w:name w:val="book-header-title-caselaw__juridiction"/>
    <w:basedOn w:val="Policepardfaut"/>
    <w:rsid w:val="0016380C"/>
  </w:style>
  <w:style w:type="character" w:customStyle="1" w:styleId="book-header-title-caselawdate">
    <w:name w:val="book-header-title-caselaw__date"/>
    <w:basedOn w:val="Policepardfaut"/>
    <w:rsid w:val="0016380C"/>
  </w:style>
  <w:style w:type="character" w:customStyle="1" w:styleId="book-header-title-caselawreferences">
    <w:name w:val="book-header-title-caselaw__references"/>
    <w:basedOn w:val="Policepardfaut"/>
    <w:rsid w:val="0016380C"/>
  </w:style>
  <w:style w:type="character" w:styleId="Marquedecommentaire">
    <w:name w:val="annotation reference"/>
    <w:basedOn w:val="Policepardfaut"/>
    <w:uiPriority w:val="99"/>
    <w:semiHidden/>
    <w:unhideWhenUsed/>
    <w:rsid w:val="00B226BD"/>
    <w:rPr>
      <w:sz w:val="16"/>
      <w:szCs w:val="16"/>
    </w:rPr>
  </w:style>
  <w:style w:type="paragraph" w:styleId="Commentaire">
    <w:name w:val="annotation text"/>
    <w:basedOn w:val="Normal"/>
    <w:link w:val="CommentaireCar"/>
    <w:uiPriority w:val="99"/>
    <w:unhideWhenUsed/>
    <w:rsid w:val="00B226BD"/>
    <w:rPr>
      <w:sz w:val="20"/>
      <w:szCs w:val="20"/>
    </w:rPr>
  </w:style>
  <w:style w:type="character" w:customStyle="1" w:styleId="CommentaireCar">
    <w:name w:val="Commentaire Car"/>
    <w:basedOn w:val="Policepardfaut"/>
    <w:link w:val="Commentaire"/>
    <w:uiPriority w:val="99"/>
    <w:rsid w:val="00B226BD"/>
    <w:rPr>
      <w:rFonts w:ascii="Times New Roman" w:eastAsia="Times New Roman" w:hAnsi="Times New Roman" w:cs="Times New Roman"/>
      <w:sz w:val="20"/>
      <w:szCs w:val="20"/>
      <w:lang w:eastAsia="fr-FR"/>
    </w:rPr>
  </w:style>
  <w:style w:type="paragraph" w:styleId="Sous-titre">
    <w:name w:val="Subtitle"/>
    <w:basedOn w:val="Normal"/>
    <w:next w:val="Normal"/>
    <w:uiPriority w:val="11"/>
    <w:qFormat/>
    <w:pPr>
      <w:spacing w:after="160"/>
    </w:pPr>
    <w:rPr>
      <w:color w:val="595959"/>
      <w:sz w:val="28"/>
      <w:szCs w:val="28"/>
    </w:rPr>
  </w:style>
  <w:style w:type="paragraph" w:styleId="Rvision">
    <w:name w:val="Revision"/>
    <w:hidden/>
    <w:uiPriority w:val="99"/>
    <w:semiHidden/>
    <w:rsid w:val="00B61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539355">
      <w:bodyDiv w:val="1"/>
      <w:marLeft w:val="0"/>
      <w:marRight w:val="0"/>
      <w:marTop w:val="0"/>
      <w:marBottom w:val="0"/>
      <w:divBdr>
        <w:top w:val="none" w:sz="0" w:space="0" w:color="auto"/>
        <w:left w:val="none" w:sz="0" w:space="0" w:color="auto"/>
        <w:bottom w:val="none" w:sz="0" w:space="0" w:color="auto"/>
        <w:right w:val="none" w:sz="0" w:space="0" w:color="auto"/>
      </w:divBdr>
      <w:divsChild>
        <w:div w:id="2024160129">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jim.fr/viewarticle/lamputeur-amput%C3%A9-2025a1000oy0" TargetMode="External"/><Relationship Id="rId1" Type="http://schemas.openxmlformats.org/officeDocument/2006/relationships/hyperlink" Target="https://docs.un.org/fr/A/HRC/59/4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S9+WJXbooL+rMYx3cPSI2h8Vw==">CgMxLjAyDWgucXMydmFlcnptbzcyDmguaXNxcGJ5b3hkOTVpOAByITFBbEFOX3lEZnlBeGIxSTVfTnpyTFlSVHR5SWU2SGpGbg==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5966</Words>
  <Characters>32818</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Aude Mirkovic</dc:creator>
  <cp:lastModifiedBy>Damien Piquet</cp:lastModifiedBy>
  <cp:revision>3</cp:revision>
  <dcterms:created xsi:type="dcterms:W3CDTF">2026-01-28T15:13:00Z</dcterms:created>
  <dcterms:modified xsi:type="dcterms:W3CDTF">2026-01-29T11:14:00Z</dcterms:modified>
</cp:coreProperties>
</file>